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6FC542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284344">
        <w:rPr>
          <w:bCs/>
          <w:noProof w:val="0"/>
          <w:sz w:val="24"/>
          <w:szCs w:val="24"/>
        </w:rPr>
        <w:t>3170</w:t>
      </w:r>
    </w:p>
    <w:p w14:paraId="11776FA6" w14:textId="708D610B"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AD0C8E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11E7">
        <w:rPr>
          <w:rFonts w:cs="Arial"/>
          <w:b/>
          <w:bCs/>
          <w:sz w:val="24"/>
          <w:lang w:eastAsia="ja-JP"/>
        </w:rPr>
        <w:t>7.7.4.2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B15675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597B">
        <w:rPr>
          <w:rFonts w:ascii="Arial" w:hAnsi="Arial" w:cs="Arial"/>
          <w:b/>
          <w:bCs/>
          <w:sz w:val="24"/>
        </w:rPr>
        <w:t xml:space="preserve">Even Further Aspects on </w:t>
      </w:r>
      <w:r w:rsidR="007E234C">
        <w:rPr>
          <w:rFonts w:ascii="Arial" w:hAnsi="Arial" w:cs="Arial"/>
          <w:b/>
          <w:bCs/>
          <w:sz w:val="24"/>
        </w:rPr>
        <w:t>Connected-mode NTN enhancements</w:t>
      </w:r>
    </w:p>
    <w:p w14:paraId="25F387E8" w14:textId="09BC68D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80DE8">
        <w:rPr>
          <w:rFonts w:ascii="Arial" w:hAnsi="Arial" w:cs="Arial"/>
          <w:b/>
          <w:bCs/>
          <w:sz w:val="24"/>
        </w:rPr>
        <w:t>NR_NTN_enh</w:t>
      </w:r>
      <w:proofErr w:type="spellEnd"/>
      <w:r w:rsidR="00080DE8">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00AC5C7" w14:textId="2BD33824" w:rsidR="00C135E5" w:rsidRDefault="00FF30A0" w:rsidP="009339CB">
      <w:r>
        <w:t>At RAN2#12</w:t>
      </w:r>
      <w:r w:rsidR="00824B97">
        <w:t>1</w:t>
      </w:r>
      <w:r w:rsidR="004E5A74">
        <w:t xml:space="preserve"> (February 2023) the following NTN-related agreements on </w:t>
      </w:r>
      <w:r w:rsidR="00ED171F">
        <w:t xml:space="preserve">connected-mode </w:t>
      </w:r>
      <w:r w:rsidR="004E5A74">
        <w:t>mobility were made</w:t>
      </w:r>
      <w:r w:rsidR="00D01692">
        <w:t xml:space="preserve"> </w:t>
      </w:r>
      <w:r w:rsidR="00D01692">
        <w:fldChar w:fldCharType="begin"/>
      </w:r>
      <w:r w:rsidR="00D01692">
        <w:instrText xml:space="preserve"> REF _Ref130826656 \w \h </w:instrText>
      </w:r>
      <w:r w:rsidR="00D01692">
        <w:fldChar w:fldCharType="separate"/>
      </w:r>
      <w:r w:rsidR="00D01692">
        <w:t>[1]</w:t>
      </w:r>
      <w:r w:rsidR="00D01692">
        <w:fldChar w:fldCharType="end"/>
      </w:r>
      <w:r w:rsidR="004E5A74">
        <w:t>:</w:t>
      </w:r>
    </w:p>
    <w:p w14:paraId="06A7CA97" w14:textId="2AA08671" w:rsidR="00C135E5" w:rsidRDefault="004B426F" w:rsidP="009339CB">
      <w:pPr>
        <w:rPr>
          <w:b/>
          <w:bCs/>
          <w:u w:val="single"/>
        </w:rPr>
      </w:pPr>
      <w:r w:rsidRPr="004B426F">
        <w:rPr>
          <w:b/>
          <w:bCs/>
          <w:u w:val="single"/>
        </w:rPr>
        <w:t>C</w:t>
      </w:r>
      <w:r w:rsidR="00F64393">
        <w:rPr>
          <w:b/>
          <w:bCs/>
          <w:u w:val="single"/>
        </w:rPr>
        <w:t>ommon HO configuration and CHO in EMC</w:t>
      </w:r>
    </w:p>
    <w:tbl>
      <w:tblPr>
        <w:tblStyle w:val="TableGrid"/>
        <w:tblW w:w="0" w:type="auto"/>
        <w:tblLook w:val="04A0" w:firstRow="1" w:lastRow="0" w:firstColumn="1" w:lastColumn="0" w:noHBand="0" w:noVBand="1"/>
      </w:tblPr>
      <w:tblGrid>
        <w:gridCol w:w="9631"/>
      </w:tblGrid>
      <w:tr w:rsidR="002022C8" w14:paraId="6F82CB6A" w14:textId="77777777" w:rsidTr="002022C8">
        <w:tc>
          <w:tcPr>
            <w:tcW w:w="9631" w:type="dxa"/>
          </w:tcPr>
          <w:p w14:paraId="7A7DB50C" w14:textId="77777777" w:rsidR="00DE5CDE" w:rsidRPr="00DE5CDE" w:rsidRDefault="00DE5CDE" w:rsidP="00DE5CDE">
            <w:r w:rsidRPr="00DE5CDE">
              <w:t>Agreements:</w:t>
            </w:r>
          </w:p>
          <w:p w14:paraId="439778CF" w14:textId="77777777" w:rsidR="00DE5CDE" w:rsidRPr="00DE5CDE" w:rsidRDefault="00DE5CDE" w:rsidP="00DE5CDE">
            <w:r w:rsidRPr="00DE5CDE">
              <w:t>1.</w:t>
            </w:r>
            <w:r w:rsidRPr="00DE5CDE">
              <w:tab/>
              <w:t>Continue in the next meeting, to show the possible signalling gain of the proposal to have some common (C)HO configuration. FFS the number of cells that could be signalled. FFS whether broadcast or groupcast signalling could be used.</w:t>
            </w:r>
          </w:p>
          <w:p w14:paraId="45AF41F9" w14:textId="250262F6" w:rsidR="002022C8" w:rsidRDefault="00DE5CDE" w:rsidP="00DE5CDE">
            <w:pPr>
              <w:rPr>
                <w:b/>
                <w:bCs/>
                <w:u w:val="single"/>
              </w:rPr>
            </w:pPr>
            <w:r w:rsidRPr="00DE5CDE">
              <w:t>2.</w:t>
            </w:r>
            <w:r w:rsidRPr="00DE5CDE">
              <w:tab/>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tc>
      </w:tr>
    </w:tbl>
    <w:p w14:paraId="6884B6AA" w14:textId="77777777" w:rsidR="00BA5762" w:rsidRDefault="00BA5762" w:rsidP="009339CB"/>
    <w:p w14:paraId="10A38757" w14:textId="06E51D57" w:rsidR="007B208F" w:rsidRPr="00284344" w:rsidRDefault="00DA1D1C" w:rsidP="009339CB">
      <w:pPr>
        <w:rPr>
          <w:b/>
          <w:bCs/>
          <w:u w:val="single"/>
        </w:rPr>
      </w:pPr>
      <w:r w:rsidRPr="00284344">
        <w:rPr>
          <w:b/>
          <w:bCs/>
          <w:u w:val="single"/>
        </w:rPr>
        <w:t xml:space="preserve">Location-based </w:t>
      </w:r>
      <w:r w:rsidR="007B208F" w:rsidRPr="00284344">
        <w:rPr>
          <w:b/>
          <w:bCs/>
          <w:u w:val="single"/>
        </w:rPr>
        <w:t xml:space="preserve">CHO </w:t>
      </w:r>
      <w:r w:rsidR="005D1789" w:rsidRPr="00284344">
        <w:rPr>
          <w:b/>
          <w:bCs/>
          <w:u w:val="single"/>
        </w:rPr>
        <w:t>for</w:t>
      </w:r>
      <w:r w:rsidR="007B208F" w:rsidRPr="00284344">
        <w:rPr>
          <w:b/>
          <w:bCs/>
          <w:u w:val="single"/>
        </w:rPr>
        <w:t xml:space="preserve"> Earth-moving cells</w:t>
      </w:r>
    </w:p>
    <w:tbl>
      <w:tblPr>
        <w:tblStyle w:val="TableGrid"/>
        <w:tblW w:w="0" w:type="auto"/>
        <w:tblLook w:val="04A0" w:firstRow="1" w:lastRow="0" w:firstColumn="1" w:lastColumn="0" w:noHBand="0" w:noVBand="1"/>
      </w:tblPr>
      <w:tblGrid>
        <w:gridCol w:w="9631"/>
      </w:tblGrid>
      <w:tr w:rsidR="007B208F" w14:paraId="30E6194C" w14:textId="77777777" w:rsidTr="007B208F">
        <w:tc>
          <w:tcPr>
            <w:tcW w:w="9631" w:type="dxa"/>
          </w:tcPr>
          <w:p w14:paraId="31967458" w14:textId="60211EB2" w:rsidR="007B208F" w:rsidRDefault="007B208F" w:rsidP="009339CB">
            <w:r>
              <w:t>Agreements:</w:t>
            </w:r>
          </w:p>
          <w:p w14:paraId="295805E0" w14:textId="7394E15C" w:rsidR="007B208F" w:rsidRDefault="007B208F" w:rsidP="009339CB">
            <w:r w:rsidRPr="00DE5CDE">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r>
              <w:t>.</w:t>
            </w:r>
          </w:p>
        </w:tc>
      </w:tr>
    </w:tbl>
    <w:p w14:paraId="71254A7E" w14:textId="77777777" w:rsidR="007B208F" w:rsidRDefault="007B208F" w:rsidP="009339CB"/>
    <w:p w14:paraId="4121E740" w14:textId="6A5F40B5" w:rsidR="00ED171F" w:rsidRPr="00ED171F" w:rsidRDefault="00ED171F" w:rsidP="009339CB">
      <w:pPr>
        <w:rPr>
          <w:b/>
          <w:bCs/>
          <w:u w:val="single"/>
        </w:rPr>
      </w:pPr>
      <w:r w:rsidRPr="00ED171F">
        <w:rPr>
          <w:b/>
          <w:bCs/>
          <w:u w:val="single"/>
        </w:rPr>
        <w:t>RACH-less HO</w:t>
      </w:r>
    </w:p>
    <w:tbl>
      <w:tblPr>
        <w:tblStyle w:val="TableGrid"/>
        <w:tblW w:w="0" w:type="auto"/>
        <w:tblLook w:val="04A0" w:firstRow="1" w:lastRow="0" w:firstColumn="1" w:lastColumn="0" w:noHBand="0" w:noVBand="1"/>
      </w:tblPr>
      <w:tblGrid>
        <w:gridCol w:w="9631"/>
      </w:tblGrid>
      <w:tr w:rsidR="00E3706D" w14:paraId="19AA9731" w14:textId="77777777" w:rsidTr="00E3706D">
        <w:tc>
          <w:tcPr>
            <w:tcW w:w="9631" w:type="dxa"/>
          </w:tcPr>
          <w:p w14:paraId="7928AE14" w14:textId="77777777" w:rsidR="00600804" w:rsidRPr="000F788B" w:rsidRDefault="00600804" w:rsidP="00C41EBC">
            <w:pPr>
              <w:jc w:val="both"/>
              <w:rPr>
                <w:lang w:val="en-US"/>
              </w:rPr>
            </w:pPr>
            <w:r w:rsidRPr="000F788B">
              <w:rPr>
                <w:lang w:val="en-US"/>
              </w:rPr>
              <w:t>Agreements:</w:t>
            </w:r>
          </w:p>
          <w:p w14:paraId="28AB297B" w14:textId="77777777" w:rsidR="00600804" w:rsidRPr="000F788B" w:rsidRDefault="00600804" w:rsidP="00C41EBC">
            <w:pPr>
              <w:jc w:val="both"/>
              <w:rPr>
                <w:lang w:val="en-US"/>
              </w:rPr>
            </w:pPr>
            <w:r w:rsidRPr="000F788B">
              <w:rPr>
                <w:lang w:val="en-US"/>
              </w:rPr>
              <w:t>1.</w:t>
            </w:r>
            <w:r w:rsidRPr="000F788B">
              <w:rPr>
                <w:lang w:val="en-US"/>
              </w:rPr>
              <w:tab/>
              <w:t>Support RACH-less Handover in Rel-18.</w:t>
            </w:r>
          </w:p>
          <w:p w14:paraId="49632308" w14:textId="77777777" w:rsidR="00600804" w:rsidRPr="000F788B" w:rsidRDefault="00600804" w:rsidP="00C41EBC">
            <w:pPr>
              <w:jc w:val="both"/>
              <w:rPr>
                <w:lang w:val="en-US"/>
              </w:rPr>
            </w:pPr>
            <w:r w:rsidRPr="000F788B">
              <w:rPr>
                <w:lang w:val="en-US"/>
              </w:rPr>
              <w:t>2.</w:t>
            </w:r>
            <w:r w:rsidRPr="000F788B">
              <w:rPr>
                <w:lang w:val="en-US"/>
              </w:rPr>
              <w:tab/>
              <w:t>RACH-less Handover in NR NTN is a L3 mobility procedure (FFS if this is combined with the unchanged PCI approach, if supported) and uses the LTE’s RACH-less Handover procedure as a baseline. FFS on TA acquisition</w:t>
            </w:r>
          </w:p>
          <w:p w14:paraId="7B43D174" w14:textId="77777777" w:rsidR="00600804" w:rsidRPr="000F788B" w:rsidRDefault="00600804" w:rsidP="00C41EBC">
            <w:pPr>
              <w:jc w:val="both"/>
              <w:rPr>
                <w:lang w:val="en-US"/>
              </w:rPr>
            </w:pPr>
            <w:r w:rsidRPr="000F788B">
              <w:rPr>
                <w:lang w:val="en-US"/>
              </w:rPr>
              <w:t>3.</w:t>
            </w:r>
            <w:r w:rsidRPr="000F788B">
              <w:rPr>
                <w:lang w:val="en-US"/>
              </w:rPr>
              <w:tab/>
              <w:t>In NTN RACH-less handover, network indicates (implicitly or explicitly) whether NTA in the target cell is identical to the source cell or explicitly provided by the NW.</w:t>
            </w:r>
          </w:p>
          <w:p w14:paraId="5EBD27BE" w14:textId="710C34EB" w:rsidR="00E3706D" w:rsidRDefault="00600804" w:rsidP="00C41EBC">
            <w:pPr>
              <w:jc w:val="both"/>
            </w:pPr>
            <w:r w:rsidRPr="000F788B">
              <w:rPr>
                <w:lang w:val="en-US"/>
              </w:rPr>
              <w:t>4.</w:t>
            </w:r>
            <w:r w:rsidRPr="000F788B">
              <w:rPr>
                <w:lang w:val="en-US"/>
              </w:rPr>
              <w:tab/>
              <w:t>Support dynamic grant from the target cell for RACH-less PUSCH transmission to reduce random access congestion in the target cell. FFS whether to limit the solution to same feeder link/gateway scenario</w:t>
            </w:r>
            <w:r>
              <w:rPr>
                <w:lang w:val="en-US"/>
              </w:rPr>
              <w:t>.</w:t>
            </w:r>
          </w:p>
        </w:tc>
      </w:tr>
    </w:tbl>
    <w:p w14:paraId="03573670" w14:textId="77777777" w:rsidR="00E3706D" w:rsidRDefault="00E3706D" w:rsidP="009339CB"/>
    <w:p w14:paraId="1191124A" w14:textId="475FB81C" w:rsidR="00BA410A" w:rsidRPr="00ED171F" w:rsidRDefault="00BA410A" w:rsidP="009339CB">
      <w:pPr>
        <w:rPr>
          <w:b/>
          <w:bCs/>
          <w:u w:val="single"/>
        </w:rPr>
      </w:pPr>
      <w:r w:rsidRPr="00ED171F">
        <w:rPr>
          <w:b/>
          <w:bCs/>
          <w:u w:val="single"/>
        </w:rPr>
        <w:t>Hard satellite switch</w:t>
      </w:r>
      <w:r w:rsidR="00ED171F" w:rsidRPr="00ED171F">
        <w:rPr>
          <w:b/>
          <w:bCs/>
          <w:u w:val="single"/>
        </w:rPr>
        <w:t xml:space="preserve"> without PCI change</w:t>
      </w:r>
    </w:p>
    <w:tbl>
      <w:tblPr>
        <w:tblStyle w:val="TableGrid"/>
        <w:tblW w:w="0" w:type="auto"/>
        <w:tblLook w:val="04A0" w:firstRow="1" w:lastRow="0" w:firstColumn="1" w:lastColumn="0" w:noHBand="0" w:noVBand="1"/>
      </w:tblPr>
      <w:tblGrid>
        <w:gridCol w:w="9631"/>
      </w:tblGrid>
      <w:tr w:rsidR="00697904" w14:paraId="07E8A523" w14:textId="77777777" w:rsidTr="00697904">
        <w:tc>
          <w:tcPr>
            <w:tcW w:w="9631" w:type="dxa"/>
          </w:tcPr>
          <w:p w14:paraId="0313F507" w14:textId="77777777" w:rsidR="00697904" w:rsidRPr="00F84B1A" w:rsidRDefault="00697904" w:rsidP="00C41EBC">
            <w:pPr>
              <w:jc w:val="both"/>
              <w:rPr>
                <w:lang w:val="en-US"/>
              </w:rPr>
            </w:pPr>
            <w:r w:rsidRPr="00F84B1A">
              <w:rPr>
                <w:lang w:val="en-US"/>
              </w:rPr>
              <w:t xml:space="preserve">Working Assumption: </w:t>
            </w:r>
          </w:p>
          <w:p w14:paraId="7173F0C5" w14:textId="2FABC1B2" w:rsidR="00697904" w:rsidRDefault="00697904" w:rsidP="00C41EBC">
            <w:pPr>
              <w:jc w:val="both"/>
            </w:pPr>
            <w:r w:rsidRPr="00F84B1A">
              <w:rPr>
                <w:lang w:val="en-US"/>
              </w:rPr>
              <w:lastRenderedPageBreak/>
              <w:t>1.</w:t>
            </w:r>
            <w:r w:rsidRPr="00F84B1A">
              <w:rPr>
                <w:lang w:val="en-US"/>
              </w:rPr>
              <w:tab/>
              <w:t xml:space="preserve">In quasi-earth fixed cell case, for hard satellite switch in the same SSB frequency and same </w:t>
            </w:r>
            <w:proofErr w:type="spellStart"/>
            <w:r w:rsidRPr="00F84B1A">
              <w:rPr>
                <w:lang w:val="en-US"/>
              </w:rPr>
              <w:t>gNB</w:t>
            </w:r>
            <w:proofErr w:type="spellEnd"/>
            <w:r w:rsidRPr="00F84B1A">
              <w:rPr>
                <w:lang w:val="en-US"/>
              </w:rPr>
              <w:t xml:space="preserve"> (no key change), satellite switching without PCI changing (not requiring L3 mobility) is supported.</w:t>
            </w:r>
          </w:p>
        </w:tc>
      </w:tr>
    </w:tbl>
    <w:p w14:paraId="19B6625E" w14:textId="77777777" w:rsidR="00697904" w:rsidRDefault="00697904" w:rsidP="009339CB"/>
    <w:p w14:paraId="7D484B6E" w14:textId="6B5CEE9F" w:rsidR="009339CB" w:rsidRPr="006E13D1" w:rsidRDefault="009339CB" w:rsidP="009339CB">
      <w:pPr>
        <w:pStyle w:val="Heading1"/>
      </w:pPr>
      <w:r w:rsidRPr="006E13D1">
        <w:t>2</w:t>
      </w:r>
      <w:r w:rsidRPr="006E13D1">
        <w:tab/>
      </w:r>
      <w:r w:rsidR="004E5A74">
        <w:t>Discu</w:t>
      </w:r>
      <w:r w:rsidR="00633F4B">
        <w:t>s</w:t>
      </w:r>
      <w:r w:rsidR="004E5A74">
        <w:t>sion</w:t>
      </w:r>
    </w:p>
    <w:p w14:paraId="2657CCC6" w14:textId="16585344" w:rsidR="00F61DF8" w:rsidRDefault="009339CB" w:rsidP="004B426F">
      <w:pPr>
        <w:pStyle w:val="Heading2"/>
      </w:pPr>
      <w:r>
        <w:t>2</w:t>
      </w:r>
      <w:r w:rsidRPr="006E13D1">
        <w:t>.1</w:t>
      </w:r>
      <w:r w:rsidR="002B4A4D">
        <w:t xml:space="preserve"> </w:t>
      </w:r>
      <w:r w:rsidR="0077077A">
        <w:tab/>
      </w:r>
      <w:r w:rsidR="00304938">
        <w:t>Group HO</w:t>
      </w:r>
      <w:r w:rsidR="00D56207">
        <w:t>, C</w:t>
      </w:r>
      <w:r w:rsidR="00304938">
        <w:t xml:space="preserve">ommon HO </w:t>
      </w:r>
      <w:r w:rsidR="00D56207">
        <w:t>C</w:t>
      </w:r>
      <w:r w:rsidR="00304938">
        <w:t>onfiguration</w:t>
      </w:r>
      <w:r w:rsidR="00D56207">
        <w:t xml:space="preserve"> and Chain of CHOs</w:t>
      </w:r>
      <w:r w:rsidR="00304938">
        <w:t xml:space="preserve"> </w:t>
      </w:r>
    </w:p>
    <w:p w14:paraId="61CA0837" w14:textId="557F0961" w:rsidR="00304938" w:rsidRPr="00304938" w:rsidRDefault="00304938" w:rsidP="00304938">
      <w:r>
        <w:t xml:space="preserve">At RAN2#121 the following decision </w:t>
      </w:r>
      <w:r w:rsidR="009578C4">
        <w:t>was</w:t>
      </w:r>
      <w:r>
        <w:t xml:space="preserve"> agreed</w:t>
      </w:r>
      <w:r w:rsidR="00D01692">
        <w:t xml:space="preserve"> </w:t>
      </w:r>
      <w:r w:rsidR="00D01692">
        <w:fldChar w:fldCharType="begin"/>
      </w:r>
      <w:r w:rsidR="00D01692">
        <w:instrText xml:space="preserve"> REF _Ref130826656 \w \h </w:instrText>
      </w:r>
      <w:r w:rsidR="00D01692">
        <w:fldChar w:fldCharType="separate"/>
      </w:r>
      <w:r w:rsidR="00D01692">
        <w:t>[1]</w:t>
      </w:r>
      <w:r w:rsidR="00D01692">
        <w:fldChar w:fldCharType="end"/>
      </w:r>
      <w:r w:rsidR="00D01692">
        <w:t xml:space="preserve"> </w:t>
      </w:r>
      <w:r>
        <w:t>:</w:t>
      </w:r>
    </w:p>
    <w:tbl>
      <w:tblPr>
        <w:tblStyle w:val="TableGrid"/>
        <w:tblW w:w="0" w:type="auto"/>
        <w:tblLook w:val="04A0" w:firstRow="1" w:lastRow="0" w:firstColumn="1" w:lastColumn="0" w:noHBand="0" w:noVBand="1"/>
      </w:tblPr>
      <w:tblGrid>
        <w:gridCol w:w="9631"/>
      </w:tblGrid>
      <w:tr w:rsidR="00304938" w14:paraId="20D6E671" w14:textId="77777777" w:rsidTr="00304938">
        <w:tc>
          <w:tcPr>
            <w:tcW w:w="9631" w:type="dxa"/>
          </w:tcPr>
          <w:p w14:paraId="52A1B62E" w14:textId="4669C22F" w:rsidR="00304938" w:rsidRDefault="00304938" w:rsidP="00304938">
            <w:pPr>
              <w:jc w:val="both"/>
            </w:pPr>
            <w:r w:rsidRPr="00DE5CDE">
              <w:t>Continue in the next meeting, to show the possible signalling gain of the proposal to have some common (C)HO configuration. FFS the number of cells that could be signalled. FFS whether broadcast or groupcast signalling could be used.</w:t>
            </w:r>
          </w:p>
        </w:tc>
      </w:tr>
    </w:tbl>
    <w:p w14:paraId="0D453C5F" w14:textId="3F55DD92" w:rsidR="00D00179" w:rsidRDefault="00BE14C5" w:rsidP="00D00179">
      <w:pPr>
        <w:jc w:val="both"/>
      </w:pPr>
      <w:r>
        <w:br/>
      </w:r>
      <w:r w:rsidR="00F34C8E" w:rsidRPr="00F34C8E">
        <w:t xml:space="preserve">During </w:t>
      </w:r>
      <w:r w:rsidR="00F34C8E">
        <w:t xml:space="preserve">previous </w:t>
      </w:r>
      <w:r w:rsidR="00F34C8E" w:rsidRPr="00F34C8E">
        <w:t>discussion</w:t>
      </w:r>
      <w:r w:rsidR="00F34C8E">
        <w:t>s</w:t>
      </w:r>
      <w:r w:rsidR="00F34C8E" w:rsidRPr="00F34C8E">
        <w:t xml:space="preserve"> it was debated what are the actual gains of </w:t>
      </w:r>
      <w:r w:rsidR="0071416A">
        <w:t>group HO and broadcast of common HO parameters</w:t>
      </w:r>
      <w:r w:rsidR="00F34C8E" w:rsidRPr="00F34C8E">
        <w:t xml:space="preserve">. </w:t>
      </w:r>
      <w:r w:rsidR="001708A9">
        <w:t>Regarding the group HO command, i</w:t>
      </w:r>
      <w:r w:rsidR="00F34C8E" w:rsidRPr="00F34C8E">
        <w:t>t was argued that the signalling overhead is reduced. However, in our opinion HO is rather a UE-specific procedure and configuration.</w:t>
      </w:r>
      <w:r w:rsidR="006E7737">
        <w:t xml:space="preserve"> I</w:t>
      </w:r>
      <w:r w:rsidR="006E7737" w:rsidRPr="00F34C8E">
        <w:t xml:space="preserve">t remains unclear to us how this is done for a group of UEs in fact and how they </w:t>
      </w:r>
      <w:r w:rsidR="00FD1802">
        <w:t>may</w:t>
      </w:r>
      <w:r w:rsidR="006E7737" w:rsidRPr="00F34C8E">
        <w:t xml:space="preserve"> share the same broadcasted or groupcasted configuration.</w:t>
      </w:r>
      <w:r w:rsidR="00F356CA">
        <w:t xml:space="preserve"> </w:t>
      </w:r>
      <w:r w:rsidR="001708A9">
        <w:t>If the groupcast/broadcast is used just for triggering the actual cell change, while the pre-configuration occurs earlier, then we do not see where the signalling reduction gains are achieved.</w:t>
      </w:r>
      <w:r w:rsidR="00F356CA">
        <w:t xml:space="preserve"> </w:t>
      </w:r>
      <w:r w:rsidR="005308D2">
        <w:t>I</w:t>
      </w:r>
      <w:r w:rsidR="001751C1">
        <w:t>n</w:t>
      </w:r>
      <w:r w:rsidR="005308D2">
        <w:t xml:space="preserve"> our previous paper </w:t>
      </w:r>
      <w:r w:rsidR="0088668F">
        <w:fldChar w:fldCharType="begin"/>
      </w:r>
      <w:r w:rsidR="0088668F">
        <w:instrText xml:space="preserve"> REF _Ref130997173 \w \h </w:instrText>
      </w:r>
      <w:r w:rsidR="0088668F">
        <w:fldChar w:fldCharType="separate"/>
      </w:r>
      <w:r w:rsidR="0088668F">
        <w:t>[2]</w:t>
      </w:r>
      <w:r w:rsidR="0088668F">
        <w:fldChar w:fldCharType="end"/>
      </w:r>
      <w:r w:rsidR="00D00179">
        <w:t>, we suggest</w:t>
      </w:r>
      <w:r w:rsidR="001751C1">
        <w:t>ed</w:t>
      </w:r>
      <w:r w:rsidR="00D00179">
        <w:t xml:space="preserve"> not to work on th</w:t>
      </w:r>
      <w:r w:rsidR="00A16776">
        <w:t>e</w:t>
      </w:r>
      <w:r w:rsidR="00D00179">
        <w:t>s</w:t>
      </w:r>
      <w:r w:rsidR="00A16776">
        <w:t>e</w:t>
      </w:r>
      <w:r w:rsidR="00D00179">
        <w:t xml:space="preserve"> solution</w:t>
      </w:r>
      <w:r w:rsidR="00A16776">
        <w:t>s</w:t>
      </w:r>
      <w:r w:rsidR="00D00179">
        <w:t xml:space="preserve"> unless clear gains are shown.</w:t>
      </w:r>
      <w:r w:rsidR="00C2518D">
        <w:t xml:space="preserve"> </w:t>
      </w:r>
      <w:r w:rsidR="00FF2308">
        <w:t xml:space="preserve">In this paper, we </w:t>
      </w:r>
      <w:r w:rsidR="001048FA">
        <w:t>reiterate the same opinion</w:t>
      </w:r>
      <w:r w:rsidR="00A77020">
        <w:t>.</w:t>
      </w:r>
    </w:p>
    <w:p w14:paraId="3429BE50" w14:textId="5C2207EC" w:rsidR="00D00179" w:rsidRDefault="00D00179" w:rsidP="00D00179">
      <w:pPr>
        <w:jc w:val="both"/>
        <w:rPr>
          <w:b/>
          <w:bCs/>
        </w:rPr>
      </w:pPr>
      <w:r w:rsidRPr="00F366BD">
        <w:rPr>
          <w:b/>
          <w:bCs/>
        </w:rPr>
        <w:t xml:space="preserve">Proposal </w:t>
      </w:r>
      <w:r w:rsidR="001048FA">
        <w:rPr>
          <w:b/>
          <w:bCs/>
        </w:rPr>
        <w:t>1</w:t>
      </w:r>
      <w:r w:rsidRPr="00F366BD">
        <w:rPr>
          <w:b/>
          <w:bCs/>
        </w:rPr>
        <w:t>: Group HO or HO command pre-configuration is not pursued as a part of Rel-18 NTN enhancements unless clear gains are shown.</w:t>
      </w:r>
    </w:p>
    <w:p w14:paraId="31C7109A" w14:textId="36BB67B6" w:rsidR="00874AB4" w:rsidRDefault="00CB1A43" w:rsidP="00D00179">
      <w:pPr>
        <w:jc w:val="both"/>
        <w:rPr>
          <w:lang w:val="en-US"/>
        </w:rPr>
      </w:pPr>
      <w:r>
        <w:t>In RAN2</w:t>
      </w:r>
      <w:r>
        <w:rPr>
          <w:lang w:val="en-US"/>
        </w:rPr>
        <w:t>#121</w:t>
      </w:r>
      <w:r w:rsidR="00C1380A">
        <w:rPr>
          <w:lang w:val="en-US"/>
        </w:rPr>
        <w:t xml:space="preserve"> meeting it was </w:t>
      </w:r>
      <w:r w:rsidR="007D2D5D">
        <w:rPr>
          <w:lang w:val="en-US"/>
        </w:rPr>
        <w:t>proposed</w:t>
      </w:r>
      <w:r w:rsidR="00C1380A">
        <w:rPr>
          <w:lang w:val="en-US"/>
        </w:rPr>
        <w:t xml:space="preserve"> to </w:t>
      </w:r>
      <w:r w:rsidR="00380027">
        <w:rPr>
          <w:lang w:val="en-US"/>
        </w:rPr>
        <w:t>modify</w:t>
      </w:r>
      <w:r w:rsidR="00C1380A">
        <w:rPr>
          <w:lang w:val="en-US"/>
        </w:rPr>
        <w:t xml:space="preserve"> UE-dedicated </w:t>
      </w:r>
      <w:r w:rsidR="00FB5352">
        <w:rPr>
          <w:lang w:val="en-US"/>
        </w:rPr>
        <w:t>HO signaling</w:t>
      </w:r>
      <w:r w:rsidR="00C1380A">
        <w:rPr>
          <w:lang w:val="en-US"/>
        </w:rPr>
        <w:t xml:space="preserve"> by </w:t>
      </w:r>
      <w:r w:rsidR="00380027">
        <w:rPr>
          <w:lang w:val="en-US"/>
        </w:rPr>
        <w:t>includin</w:t>
      </w:r>
      <w:r w:rsidR="000B6E51">
        <w:rPr>
          <w:lang w:val="en-US"/>
        </w:rPr>
        <w:t>g</w:t>
      </w:r>
      <w:r w:rsidR="00380027">
        <w:rPr>
          <w:lang w:val="en-US"/>
        </w:rPr>
        <w:t xml:space="preserve"> common </w:t>
      </w:r>
      <w:r w:rsidR="000B6E51">
        <w:rPr>
          <w:lang w:val="en-US"/>
        </w:rPr>
        <w:t xml:space="preserve">HO </w:t>
      </w:r>
      <w:r w:rsidR="00380027">
        <w:rPr>
          <w:lang w:val="en-US"/>
        </w:rPr>
        <w:t>configuration elements in system information.</w:t>
      </w:r>
      <w:r w:rsidR="000B6E51">
        <w:rPr>
          <w:lang w:val="en-US"/>
        </w:rPr>
        <w:t xml:space="preserve"> </w:t>
      </w:r>
      <w:r w:rsidR="008F09CF">
        <w:rPr>
          <w:lang w:val="en-US"/>
        </w:rPr>
        <w:t xml:space="preserve">For instance, some proponents argued that </w:t>
      </w:r>
      <w:r w:rsidR="00DB405E">
        <w:rPr>
          <w:lang w:val="en-US"/>
        </w:rPr>
        <w:t>certain IE</w:t>
      </w:r>
      <w:r w:rsidR="0076723E">
        <w:rPr>
          <w:lang w:val="en-US"/>
        </w:rPr>
        <w:t xml:space="preserve">s, such as </w:t>
      </w:r>
      <w:proofErr w:type="spellStart"/>
      <w:r w:rsidR="0076723E" w:rsidRPr="00284344">
        <w:rPr>
          <w:i/>
          <w:iCs/>
          <w:lang w:val="en-US"/>
        </w:rPr>
        <w:t>ServingCellConfigCommon</w:t>
      </w:r>
      <w:proofErr w:type="spellEnd"/>
      <w:r w:rsidR="00DB405E">
        <w:rPr>
          <w:lang w:val="en-US"/>
        </w:rPr>
        <w:t xml:space="preserve"> can be delivered to</w:t>
      </w:r>
      <w:r w:rsidR="00F063C2">
        <w:rPr>
          <w:lang w:val="en-US"/>
        </w:rPr>
        <w:t xml:space="preserve"> the</w:t>
      </w:r>
      <w:r w:rsidR="00DB405E">
        <w:rPr>
          <w:lang w:val="en-US"/>
        </w:rPr>
        <w:t xml:space="preserve"> UEs </w:t>
      </w:r>
      <w:r w:rsidR="002E1334">
        <w:rPr>
          <w:lang w:val="en-US"/>
        </w:rPr>
        <w:t>using SIB</w:t>
      </w:r>
      <w:r w:rsidR="00DA189A">
        <w:rPr>
          <w:lang w:val="en-US"/>
        </w:rPr>
        <w:t xml:space="preserve">. This could avoid </w:t>
      </w:r>
      <w:r w:rsidR="007D2D5D">
        <w:rPr>
          <w:lang w:val="en-US"/>
        </w:rPr>
        <w:t>signaling</w:t>
      </w:r>
      <w:r w:rsidR="00DA189A">
        <w:rPr>
          <w:lang w:val="en-US"/>
        </w:rPr>
        <w:t xml:space="preserve"> each UE with common information in a dedicated way. </w:t>
      </w:r>
      <w:r w:rsidR="005918A9">
        <w:rPr>
          <w:lang w:val="en-US"/>
        </w:rPr>
        <w:t>W</w:t>
      </w:r>
      <w:r w:rsidR="00B601BD">
        <w:rPr>
          <w:lang w:val="en-US"/>
        </w:rPr>
        <w:t>e understand the potential benefits of this approach</w:t>
      </w:r>
      <w:r w:rsidR="00536B6E">
        <w:rPr>
          <w:lang w:val="en-US"/>
        </w:rPr>
        <w:t>,</w:t>
      </w:r>
      <w:r w:rsidR="00A64CE5">
        <w:rPr>
          <w:lang w:val="en-US"/>
        </w:rPr>
        <w:t xml:space="preserve"> but we are not sure how this is doable, for potential multiple </w:t>
      </w:r>
      <w:proofErr w:type="spellStart"/>
      <w:r w:rsidR="00A64CE5">
        <w:rPr>
          <w:lang w:val="en-US"/>
        </w:rPr>
        <w:t>neighbour</w:t>
      </w:r>
      <w:proofErr w:type="spellEnd"/>
      <w:r w:rsidR="00A64CE5">
        <w:rPr>
          <w:lang w:val="en-US"/>
        </w:rPr>
        <w:t xml:space="preserve"> cells. </w:t>
      </w:r>
      <w:r w:rsidR="002B71DC">
        <w:rPr>
          <w:lang w:val="en-US"/>
        </w:rPr>
        <w:t xml:space="preserve">Please consider SIB19 allows to signal </w:t>
      </w:r>
      <w:proofErr w:type="spellStart"/>
      <w:r w:rsidR="002B71DC">
        <w:rPr>
          <w:lang w:val="en-US"/>
        </w:rPr>
        <w:t>neighbour</w:t>
      </w:r>
      <w:proofErr w:type="spellEnd"/>
      <w:r w:rsidR="002B71DC">
        <w:rPr>
          <w:lang w:val="en-US"/>
        </w:rPr>
        <w:t xml:space="preserve"> cell information for up to 8 cells. </w:t>
      </w:r>
      <w:r w:rsidR="00E30840">
        <w:rPr>
          <w:lang w:val="en-US"/>
        </w:rPr>
        <w:t xml:space="preserve">It is a bit difficult to imagine the network broadcasts in a large NTN cell the </w:t>
      </w:r>
      <w:proofErr w:type="spellStart"/>
      <w:r w:rsidR="00E30840" w:rsidRPr="00CD603F">
        <w:rPr>
          <w:i/>
          <w:iCs/>
          <w:lang w:val="en-US"/>
        </w:rPr>
        <w:t>ServingCellConfigCommon</w:t>
      </w:r>
      <w:proofErr w:type="spellEnd"/>
      <w:r w:rsidR="00E30840">
        <w:rPr>
          <w:i/>
          <w:iCs/>
          <w:lang w:val="en-US"/>
        </w:rPr>
        <w:t xml:space="preserve"> </w:t>
      </w:r>
      <w:r w:rsidR="00E30840" w:rsidRPr="00284344">
        <w:rPr>
          <w:lang w:val="en-US"/>
        </w:rPr>
        <w:t xml:space="preserve">IE for eight </w:t>
      </w:r>
      <w:proofErr w:type="spellStart"/>
      <w:r w:rsidR="00E30840" w:rsidRPr="00284344">
        <w:rPr>
          <w:lang w:val="en-US"/>
        </w:rPr>
        <w:t>neighbour</w:t>
      </w:r>
      <w:proofErr w:type="spellEnd"/>
      <w:r w:rsidR="00E30840" w:rsidRPr="00284344">
        <w:rPr>
          <w:lang w:val="en-US"/>
        </w:rPr>
        <w:t xml:space="preserve"> cells and all UEs within the coverage of this cell receive it (even if </w:t>
      </w:r>
      <w:r w:rsidR="00005EEB" w:rsidRPr="00284344">
        <w:rPr>
          <w:lang w:val="en-US"/>
        </w:rPr>
        <w:t xml:space="preserve">just a single configuration or none at all may be </w:t>
      </w:r>
      <w:r w:rsidR="00874AB4">
        <w:rPr>
          <w:lang w:val="en-US"/>
        </w:rPr>
        <w:t xml:space="preserve">eventually </w:t>
      </w:r>
      <w:r w:rsidR="00005EEB" w:rsidRPr="00284344">
        <w:rPr>
          <w:lang w:val="en-US"/>
        </w:rPr>
        <w:t>used</w:t>
      </w:r>
      <w:r w:rsidR="00874AB4">
        <w:rPr>
          <w:lang w:val="en-US"/>
        </w:rPr>
        <w:t xml:space="preserve"> by each of those UEs).</w:t>
      </w:r>
    </w:p>
    <w:p w14:paraId="130FE9B9" w14:textId="6EDF0FF3" w:rsidR="006A403A" w:rsidRPr="007726C0" w:rsidRDefault="00874AB4" w:rsidP="00D00179">
      <w:pPr>
        <w:jc w:val="both"/>
        <w:rPr>
          <w:b/>
          <w:bCs/>
        </w:rPr>
      </w:pPr>
      <w:r w:rsidRPr="00284344">
        <w:rPr>
          <w:b/>
          <w:bCs/>
          <w:lang w:val="en-US"/>
        </w:rPr>
        <w:t xml:space="preserve">Proposal 2: Before deciding to support common HO parameters </w:t>
      </w:r>
      <w:proofErr w:type="spellStart"/>
      <w:r w:rsidRPr="00284344">
        <w:rPr>
          <w:b/>
          <w:bCs/>
          <w:lang w:val="en-US"/>
        </w:rPr>
        <w:t>signalling</w:t>
      </w:r>
      <w:proofErr w:type="spellEnd"/>
      <w:r w:rsidRPr="00284344">
        <w:rPr>
          <w:b/>
          <w:bCs/>
          <w:lang w:val="en-US"/>
        </w:rPr>
        <w:t xml:space="preserve">, RAN2 </w:t>
      </w:r>
      <w:r w:rsidR="007726C0" w:rsidRPr="00284344">
        <w:rPr>
          <w:b/>
          <w:bCs/>
          <w:lang w:val="en-US"/>
        </w:rPr>
        <w:t xml:space="preserve">discusses if it is practical to broadcast in a large NTN cell </w:t>
      </w:r>
      <w:proofErr w:type="gramStart"/>
      <w:r w:rsidR="007726C0" w:rsidRPr="00284344">
        <w:rPr>
          <w:b/>
          <w:bCs/>
          <w:lang w:val="en-US"/>
        </w:rPr>
        <w:t>e.g.</w:t>
      </w:r>
      <w:proofErr w:type="gramEnd"/>
      <w:r w:rsidRPr="00284344" w:rsidDel="00874AB4">
        <w:rPr>
          <w:b/>
          <w:bCs/>
          <w:lang w:val="en-US"/>
        </w:rPr>
        <w:t xml:space="preserve"> </w:t>
      </w:r>
      <w:proofErr w:type="spellStart"/>
      <w:r w:rsidR="007726C0" w:rsidRPr="00284344">
        <w:rPr>
          <w:b/>
          <w:bCs/>
          <w:i/>
          <w:iCs/>
          <w:lang w:val="en-US"/>
        </w:rPr>
        <w:t>ServingCellConfigCommon</w:t>
      </w:r>
      <w:proofErr w:type="spellEnd"/>
      <w:r w:rsidR="007726C0" w:rsidRPr="00284344">
        <w:rPr>
          <w:b/>
          <w:bCs/>
          <w:lang w:val="en-US"/>
        </w:rPr>
        <w:t xml:space="preserve"> IE for up to eight </w:t>
      </w:r>
      <w:proofErr w:type="spellStart"/>
      <w:r w:rsidR="007726C0" w:rsidRPr="00284344">
        <w:rPr>
          <w:b/>
          <w:bCs/>
          <w:lang w:val="en-US"/>
        </w:rPr>
        <w:t>neighbour</w:t>
      </w:r>
      <w:proofErr w:type="spellEnd"/>
      <w:r w:rsidR="007726C0" w:rsidRPr="00284344">
        <w:rPr>
          <w:b/>
          <w:bCs/>
          <w:lang w:val="en-US"/>
        </w:rPr>
        <w:t xml:space="preserve"> cells.</w:t>
      </w:r>
    </w:p>
    <w:p w14:paraId="53C84320" w14:textId="60A9083F" w:rsidR="00C66A8A" w:rsidRPr="00F366BD" w:rsidRDefault="00281A21" w:rsidP="00D00179">
      <w:pPr>
        <w:jc w:val="both"/>
        <w:rPr>
          <w:b/>
          <w:bCs/>
        </w:rPr>
      </w:pPr>
      <w:r>
        <w:t xml:space="preserve">Another option to reduce </w:t>
      </w:r>
      <w:r w:rsidR="00CA084B">
        <w:t xml:space="preserve">signalling overhead is the adoption of chain of CHOs. </w:t>
      </w:r>
      <w:r w:rsidR="00D202D8">
        <w:t>At RAN2#120 it was briefly discussed if the scheme,</w:t>
      </w:r>
      <w:r w:rsidR="003135CA" w:rsidRPr="003135CA">
        <w:t xml:space="preserve"> </w:t>
      </w:r>
      <w:r w:rsidR="003135CA">
        <w:t xml:space="preserve">where the UE can be provided with CHO configurations for more than just the next HO, shall be supported in Rel-18 NTN. This was well described in previous </w:t>
      </w:r>
      <w:proofErr w:type="spellStart"/>
      <w:r w:rsidR="003135CA">
        <w:t>TDoc</w:t>
      </w:r>
      <w:proofErr w:type="spellEnd"/>
      <w:r w:rsidR="003135CA">
        <w:t xml:space="preserve"> </w:t>
      </w:r>
      <w:r w:rsidR="00284A9C">
        <w:fldChar w:fldCharType="begin"/>
      </w:r>
      <w:r w:rsidR="00284A9C">
        <w:instrText xml:space="preserve"> REF _Ref131163084 \w \h </w:instrText>
      </w:r>
      <w:r w:rsidR="00284A9C">
        <w:fldChar w:fldCharType="separate"/>
      </w:r>
      <w:r w:rsidR="00284A9C">
        <w:t>[3]</w:t>
      </w:r>
      <w:r w:rsidR="00284A9C">
        <w:fldChar w:fldCharType="end"/>
      </w:r>
      <w:r w:rsidR="00AB2ED6">
        <w:t xml:space="preserve"> (Section 3.1). In EMC-based NTN, </w:t>
      </w:r>
      <w:r w:rsidR="000019A7">
        <w:t>the sequence of future cells can be predicted with high probability</w:t>
      </w:r>
      <w:r w:rsidR="00617A6E">
        <w:t xml:space="preserve">. Assuming </w:t>
      </w:r>
      <w:r w:rsidR="003F483A" w:rsidRPr="003F483A">
        <w:t>the UE does not move significantly compared to the satellite coverage, we see value in preparing the UE for multiple cell hops in advance.</w:t>
      </w:r>
      <w:r w:rsidR="003F483A">
        <w:t xml:space="preserve"> </w:t>
      </w:r>
      <w:r w:rsidR="00F21856">
        <w:t xml:space="preserve">One of the challenging aspects of EMC is </w:t>
      </w:r>
      <w:r w:rsidR="0095629D">
        <w:t xml:space="preserve">frequently occurring </w:t>
      </w:r>
      <w:r w:rsidR="00F21856">
        <w:t>HO</w:t>
      </w:r>
      <w:r w:rsidR="0095629D">
        <w:t>s</w:t>
      </w:r>
      <w:r w:rsidR="00F21856">
        <w:t xml:space="preserve"> and </w:t>
      </w:r>
      <w:r w:rsidR="0095629D">
        <w:t>their</w:t>
      </w:r>
      <w:r w:rsidR="00F21856">
        <w:t xml:space="preserve"> corresponding </w:t>
      </w:r>
      <w:r w:rsidR="007D7291">
        <w:t xml:space="preserve">high </w:t>
      </w:r>
      <w:r w:rsidR="00F21856">
        <w:t xml:space="preserve">signalling load. </w:t>
      </w:r>
      <w:r w:rsidR="0048565C">
        <w:t xml:space="preserve">In NTN, this problem can be mitigated </w:t>
      </w:r>
      <w:r w:rsidR="006131CA">
        <w:t xml:space="preserve">as </w:t>
      </w:r>
      <w:r w:rsidR="0095629D">
        <w:t>subsequent</w:t>
      </w:r>
      <w:r w:rsidR="006131CA">
        <w:t xml:space="preserve"> candidate cells are well known. </w:t>
      </w:r>
      <w:r w:rsidR="00BB107A">
        <w:t>assuming the UE does not move significantly, compared to the satellite coverage, we see value in preparing the UE for multiple cell hops in advance.</w:t>
      </w:r>
      <w:r w:rsidR="00722CD7">
        <w:t xml:space="preserve"> </w:t>
      </w:r>
    </w:p>
    <w:p w14:paraId="39924A9F" w14:textId="2E69F1D5" w:rsidR="004B426F" w:rsidRPr="00284344" w:rsidRDefault="009343EA" w:rsidP="004B426F">
      <w:pPr>
        <w:rPr>
          <w:b/>
        </w:rPr>
      </w:pPr>
      <w:r w:rsidRPr="00284344">
        <w:rPr>
          <w:b/>
          <w:bCs/>
        </w:rPr>
        <w:t xml:space="preserve">Proposal </w:t>
      </w:r>
      <w:r w:rsidR="009607D7">
        <w:rPr>
          <w:b/>
          <w:bCs/>
        </w:rPr>
        <w:t>3</w:t>
      </w:r>
      <w:r w:rsidRPr="00284344">
        <w:rPr>
          <w:b/>
          <w:bCs/>
        </w:rPr>
        <w:t xml:space="preserve">: </w:t>
      </w:r>
      <w:r w:rsidR="00D66A4A" w:rsidRPr="00284344">
        <w:rPr>
          <w:b/>
          <w:bCs/>
        </w:rPr>
        <w:t xml:space="preserve">RAN2 to adopt chain of CHOs to reduce signalling </w:t>
      </w:r>
      <w:r w:rsidR="0097571D" w:rsidRPr="2C57998E">
        <w:rPr>
          <w:b/>
          <w:bCs/>
        </w:rPr>
        <w:t xml:space="preserve">load </w:t>
      </w:r>
      <w:r w:rsidR="00D66A4A" w:rsidRPr="00284344">
        <w:rPr>
          <w:b/>
          <w:bCs/>
        </w:rPr>
        <w:t>related to future target cells preparation</w:t>
      </w:r>
      <w:r w:rsidR="009607D7">
        <w:rPr>
          <w:b/>
          <w:bCs/>
        </w:rPr>
        <w:t>s</w:t>
      </w:r>
      <w:r w:rsidR="00D66A4A" w:rsidRPr="00284344">
        <w:rPr>
          <w:b/>
          <w:bCs/>
        </w:rPr>
        <w:t>.</w:t>
      </w:r>
    </w:p>
    <w:p w14:paraId="05F5CF4A" w14:textId="316F5105" w:rsidR="00EF6B96" w:rsidRDefault="00F540F3" w:rsidP="004B426F">
      <w:pPr>
        <w:pStyle w:val="Heading2"/>
      </w:pPr>
      <w:r>
        <w:t xml:space="preserve">2.2 </w:t>
      </w:r>
      <w:r w:rsidR="0077077A">
        <w:tab/>
      </w:r>
      <w:r w:rsidR="005D1789">
        <w:t xml:space="preserve">Location-based </w:t>
      </w:r>
      <w:r w:rsidR="00304938">
        <w:t xml:space="preserve">CHO </w:t>
      </w:r>
      <w:r w:rsidR="005D1789">
        <w:t>for</w:t>
      </w:r>
      <w:r w:rsidR="00304938">
        <w:t xml:space="preserve"> Earth-moving cells</w:t>
      </w:r>
    </w:p>
    <w:p w14:paraId="1146874A" w14:textId="69936FE3" w:rsidR="00304938" w:rsidRDefault="00304938" w:rsidP="00304938">
      <w:r>
        <w:t>At RAN2#121 the following decision has been made for connected mode</w:t>
      </w:r>
      <w:r w:rsidR="00D01692">
        <w:t xml:space="preserve"> </w:t>
      </w:r>
      <w:r w:rsidR="00D01692">
        <w:fldChar w:fldCharType="begin"/>
      </w:r>
      <w:r w:rsidR="00D01692">
        <w:instrText xml:space="preserve"> REF _Ref130826656 \w \h </w:instrText>
      </w:r>
      <w:r w:rsidR="00D01692">
        <w:fldChar w:fldCharType="separate"/>
      </w:r>
      <w:r w:rsidR="00D01692">
        <w:t>[1]</w:t>
      </w:r>
      <w:r w:rsidR="00D01692">
        <w:fldChar w:fldCharType="end"/>
      </w:r>
      <w:r>
        <w:t>:</w:t>
      </w:r>
    </w:p>
    <w:tbl>
      <w:tblPr>
        <w:tblStyle w:val="TableGrid"/>
        <w:tblW w:w="0" w:type="auto"/>
        <w:tblLook w:val="04A0" w:firstRow="1" w:lastRow="0" w:firstColumn="1" w:lastColumn="0" w:noHBand="0" w:noVBand="1"/>
      </w:tblPr>
      <w:tblGrid>
        <w:gridCol w:w="9631"/>
      </w:tblGrid>
      <w:tr w:rsidR="00304938" w14:paraId="54E5C62E" w14:textId="77777777" w:rsidTr="003311AC">
        <w:tc>
          <w:tcPr>
            <w:tcW w:w="9631" w:type="dxa"/>
          </w:tcPr>
          <w:p w14:paraId="59C0CF83" w14:textId="77777777" w:rsidR="00304938" w:rsidRDefault="00304938" w:rsidP="003311AC">
            <w:r w:rsidRPr="00DE5CDE">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r>
              <w:t>.</w:t>
            </w:r>
          </w:p>
        </w:tc>
      </w:tr>
    </w:tbl>
    <w:p w14:paraId="6734D694" w14:textId="74F89372" w:rsidR="00304938" w:rsidRPr="0006102D" w:rsidRDefault="003A64DE" w:rsidP="00304938">
      <w:r>
        <w:br/>
      </w:r>
      <w:r w:rsidR="00304938">
        <w:t>While the following was agreed on cell re-selection:</w:t>
      </w:r>
    </w:p>
    <w:tbl>
      <w:tblPr>
        <w:tblStyle w:val="TableGrid"/>
        <w:tblW w:w="0" w:type="auto"/>
        <w:tblLook w:val="04A0" w:firstRow="1" w:lastRow="0" w:firstColumn="1" w:lastColumn="0" w:noHBand="0" w:noVBand="1"/>
      </w:tblPr>
      <w:tblGrid>
        <w:gridCol w:w="9631"/>
      </w:tblGrid>
      <w:tr w:rsidR="00304938" w14:paraId="79048F0D" w14:textId="77777777" w:rsidTr="003311AC">
        <w:tc>
          <w:tcPr>
            <w:tcW w:w="9631" w:type="dxa"/>
            <w:vAlign w:val="center"/>
          </w:tcPr>
          <w:p w14:paraId="7118E406" w14:textId="77777777" w:rsidR="00304938" w:rsidRPr="00B31310" w:rsidRDefault="00304938" w:rsidP="003311AC">
            <w:pPr>
              <w:jc w:val="both"/>
              <w:rPr>
                <w:lang w:val="en-US"/>
              </w:rPr>
            </w:pPr>
            <w:r w:rsidRPr="00B31310">
              <w:rPr>
                <w:lang w:val="en-US"/>
              </w:rPr>
              <w:lastRenderedPageBreak/>
              <w:t>Agreements:</w:t>
            </w:r>
          </w:p>
          <w:p w14:paraId="62F0A879" w14:textId="77777777" w:rsidR="00304938" w:rsidRPr="005F73F5" w:rsidRDefault="00304938" w:rsidP="003311AC">
            <w:pPr>
              <w:pStyle w:val="ListParagraph"/>
              <w:numPr>
                <w:ilvl w:val="0"/>
                <w:numId w:val="9"/>
              </w:numPr>
              <w:jc w:val="both"/>
              <w:rPr>
                <w:lang w:val="en-US"/>
              </w:rPr>
            </w:pPr>
            <w:r w:rsidRPr="005F73F5">
              <w:rPr>
                <w:lang w:val="en-US"/>
              </w:rPr>
              <w:t>In R18, for earth-moving system, satellite with steerable beam is not considered as part of mobility enhancement in NTN.</w:t>
            </w:r>
          </w:p>
          <w:p w14:paraId="457C122F" w14:textId="77777777" w:rsidR="00304938" w:rsidRPr="005F73F5" w:rsidRDefault="00304938" w:rsidP="003311AC">
            <w:pPr>
              <w:pStyle w:val="ListParagraph"/>
              <w:numPr>
                <w:ilvl w:val="0"/>
                <w:numId w:val="9"/>
              </w:numPr>
              <w:jc w:val="both"/>
              <w:rPr>
                <w:lang w:val="en-US"/>
              </w:rPr>
            </w:pPr>
            <w:r w:rsidRPr="005F73F5">
              <w:rPr>
                <w:lang w:val="en-US"/>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5F73F5">
              <w:rPr>
                <w:lang w:val="en-US"/>
              </w:rPr>
              <w:t>e.g.</w:t>
            </w:r>
            <w:proofErr w:type="gramEnd"/>
            <w:r w:rsidRPr="005F73F5">
              <w:rPr>
                <w:lang w:val="en-US"/>
              </w:rPr>
              <w:t xml:space="preserve"> Epoch time and ephemeris).</w:t>
            </w:r>
          </w:p>
          <w:p w14:paraId="43D261F3" w14:textId="77777777" w:rsidR="00304938" w:rsidRPr="005F73F5" w:rsidRDefault="00304938" w:rsidP="003311AC">
            <w:pPr>
              <w:pStyle w:val="ListParagraph"/>
              <w:numPr>
                <w:ilvl w:val="0"/>
                <w:numId w:val="9"/>
              </w:numPr>
              <w:jc w:val="both"/>
              <w:rPr>
                <w:lang w:val="en-US"/>
              </w:rPr>
            </w:pPr>
            <w:r w:rsidRPr="005F73F5">
              <w:rPr>
                <w:lang w:val="en-US"/>
              </w:rPr>
              <w:t>For cell selection/reselection, location-based measurement initiation is supported in earth-moving cel</w:t>
            </w:r>
            <w:r>
              <w:rPr>
                <w:lang w:val="en-US"/>
              </w:rPr>
              <w:t>ls.</w:t>
            </w:r>
          </w:p>
        </w:tc>
      </w:tr>
    </w:tbl>
    <w:p w14:paraId="414CA89B" w14:textId="4F2983E0" w:rsidR="00154225" w:rsidRDefault="003A64DE" w:rsidP="00154225">
      <w:pPr>
        <w:jc w:val="both"/>
      </w:pPr>
      <w:r>
        <w:br/>
      </w:r>
      <w:r w:rsidR="00411615">
        <w:t xml:space="preserve">For </w:t>
      </w:r>
      <w:r w:rsidR="0026325E">
        <w:t>cell reselection in</w:t>
      </w:r>
      <w:r w:rsidR="00411615">
        <w:t xml:space="preserve"> Earth-moving cells (EMC) deployments, it has been agreed that the UE can acquire</w:t>
      </w:r>
      <w:r w:rsidR="009607D7">
        <w:t xml:space="preserve"> from the system information</w:t>
      </w:r>
      <w:r w:rsidR="00411615">
        <w:t xml:space="preserve"> </w:t>
      </w:r>
      <w:r w:rsidR="009607D7">
        <w:t xml:space="preserve">the </w:t>
      </w:r>
      <w:r w:rsidR="00411615">
        <w:t>serving cell</w:t>
      </w:r>
      <w:r w:rsidR="009607D7">
        <w:t>’s</w:t>
      </w:r>
      <w:r w:rsidR="00411615">
        <w:t xml:space="preserve"> reference location and </w:t>
      </w:r>
      <w:r w:rsidR="000B6858">
        <w:t>the corresponding</w:t>
      </w:r>
      <w:r w:rsidR="00411615">
        <w:t xml:space="preserve"> distance threshold</w:t>
      </w:r>
      <w:r w:rsidR="00D84B6C">
        <w:t>.</w:t>
      </w:r>
      <w:r w:rsidR="00015586">
        <w:t xml:space="preserve"> </w:t>
      </w:r>
      <w:r w:rsidR="00D84B6C">
        <w:t>F</w:t>
      </w:r>
      <w:r w:rsidR="00015586">
        <w:t>or</w:t>
      </w:r>
      <w:r w:rsidR="005B4B66">
        <w:t xml:space="preserve"> location-based CHO</w:t>
      </w:r>
      <w:r w:rsidR="00D84B6C">
        <w:t>, the agreement was</w:t>
      </w:r>
      <w:r w:rsidR="00015586">
        <w:t xml:space="preserve"> to follow the </w:t>
      </w:r>
      <w:r w:rsidR="006C43AC">
        <w:t xml:space="preserve">same </w:t>
      </w:r>
      <w:r w:rsidR="00015586">
        <w:t>solutions</w:t>
      </w:r>
      <w:r w:rsidR="00411615">
        <w:t>.</w:t>
      </w:r>
    </w:p>
    <w:p w14:paraId="54F77AA4" w14:textId="69BB22CC" w:rsidR="005F6408" w:rsidRDefault="0031153A" w:rsidP="00154225">
      <w:pPr>
        <w:jc w:val="both"/>
      </w:pPr>
      <w:r>
        <w:t>T</w:t>
      </w:r>
      <w:r w:rsidR="00411615">
        <w:t xml:space="preserve">he UE can make use of the </w:t>
      </w:r>
      <w:r w:rsidR="001F4E5A">
        <w:t xml:space="preserve">serving/target </w:t>
      </w:r>
      <w:r w:rsidR="00411615">
        <w:t>cell reference location and the corresponding threshold to anticipate when the serving cell will stop serving the area. Due to moving nature of EMC, cell</w:t>
      </w:r>
      <w:r w:rsidR="00944E65">
        <w:t>s’</w:t>
      </w:r>
      <w:r w:rsidR="00411615">
        <w:t xml:space="preserve"> reference location is continuously changing </w:t>
      </w:r>
      <w:r w:rsidR="00B30245">
        <w:t xml:space="preserve">which means that the </w:t>
      </w:r>
      <w:r w:rsidR="00411615">
        <w:t>reference location</w:t>
      </w:r>
      <w:r w:rsidR="00944E65">
        <w:t xml:space="preserve"> </w:t>
      </w:r>
      <w:r w:rsidR="00411615">
        <w:t>in system information might become outdated</w:t>
      </w:r>
      <w:r w:rsidR="00154225">
        <w:t xml:space="preserve"> unless the network signals this information very frequently</w:t>
      </w:r>
      <w:r w:rsidR="004463F2">
        <w:t xml:space="preserve"> (</w:t>
      </w:r>
      <w:r w:rsidR="00507EC5">
        <w:t xml:space="preserve">which </w:t>
      </w:r>
      <w:r w:rsidR="004463F2">
        <w:t>increas</w:t>
      </w:r>
      <w:r w:rsidR="00507EC5">
        <w:t>es</w:t>
      </w:r>
      <w:r w:rsidR="004463F2">
        <w:t xml:space="preserve"> signalling overhead and UE energy consumption)</w:t>
      </w:r>
      <w:r w:rsidR="00411615">
        <w:t>.</w:t>
      </w:r>
    </w:p>
    <w:p w14:paraId="0F49F19F" w14:textId="5B2BB7CD" w:rsidR="00154225" w:rsidRPr="00284344" w:rsidRDefault="005F6408" w:rsidP="00154225">
      <w:pPr>
        <w:jc w:val="both"/>
        <w:rPr>
          <w:b/>
        </w:rPr>
      </w:pPr>
      <w:r w:rsidRPr="00284344">
        <w:rPr>
          <w:b/>
        </w:rPr>
        <w:t xml:space="preserve">Observation </w:t>
      </w:r>
      <w:r w:rsidR="00507EC5">
        <w:rPr>
          <w:b/>
          <w:bCs/>
        </w:rPr>
        <w:t>1</w:t>
      </w:r>
      <w:r w:rsidRPr="00284344">
        <w:rPr>
          <w:b/>
        </w:rPr>
        <w:t>: As the cells in EMC</w:t>
      </w:r>
      <w:r w:rsidR="00CB7924" w:rsidRPr="00284344">
        <w:rPr>
          <w:b/>
        </w:rPr>
        <w:t xml:space="preserve"> move, cells’ reference location is continuously changing and reference location</w:t>
      </w:r>
      <w:r w:rsidR="00CB7924">
        <w:rPr>
          <w:b/>
        </w:rPr>
        <w:t xml:space="preserve"> </w:t>
      </w:r>
      <w:r w:rsidR="00CB7924" w:rsidRPr="00284344">
        <w:rPr>
          <w:b/>
        </w:rPr>
        <w:t>in system information might become outdated unless the network signals this information very frequently</w:t>
      </w:r>
      <w:r w:rsidR="004176B7" w:rsidRPr="00284344">
        <w:rPr>
          <w:b/>
        </w:rPr>
        <w:t>.</w:t>
      </w:r>
    </w:p>
    <w:p w14:paraId="7C878029" w14:textId="377C3A83" w:rsidR="00411615" w:rsidRDefault="00154225" w:rsidP="00154225">
      <w:pPr>
        <w:jc w:val="both"/>
      </w:pPr>
      <w:r>
        <w:t xml:space="preserve">In our view, </w:t>
      </w:r>
      <w:r w:rsidR="00DD3B54">
        <w:t>the UE can</w:t>
      </w:r>
      <w:r w:rsidR="003A7F37">
        <w:t xml:space="preserve"> </w:t>
      </w:r>
      <w:r w:rsidR="003B78E0">
        <w:t>propagate over time</w:t>
      </w:r>
      <w:r w:rsidR="00DD3B54">
        <w:t xml:space="preserve"> the cells movement based on </w:t>
      </w:r>
      <w:r w:rsidR="003B78E0">
        <w:t xml:space="preserve">SIB information, i.e., </w:t>
      </w:r>
      <w:r w:rsidR="00DD3B54">
        <w:t>satellite ephemeris</w:t>
      </w:r>
      <w:r w:rsidR="003A7F37">
        <w:t>, cell reference location</w:t>
      </w:r>
      <w:r w:rsidR="00DD3B54">
        <w:t xml:space="preserve"> and epoch time.</w:t>
      </w:r>
      <w:r w:rsidR="00944BBA">
        <w:t xml:space="preserve"> Furthermore, the UE can also estimate the movement of the target cell’s reference location.</w:t>
      </w:r>
      <w:r>
        <w:t xml:space="preserve"> </w:t>
      </w:r>
      <w:r w:rsidR="0069274C">
        <w:t xml:space="preserve">However, the specification should ensure that the UE </w:t>
      </w:r>
      <w:r w:rsidR="00A85A62">
        <w:t>is equipped</w:t>
      </w:r>
      <w:r w:rsidR="00F26D64">
        <w:t xml:space="preserve"> with the right information to make the calculations.</w:t>
      </w:r>
    </w:p>
    <w:p w14:paraId="6C520068" w14:textId="27F37FB1" w:rsidR="00B43354" w:rsidRPr="00B43354" w:rsidRDefault="00F26D64" w:rsidP="00154225">
      <w:pPr>
        <w:jc w:val="both"/>
        <w:rPr>
          <w:b/>
          <w:bCs/>
        </w:rPr>
      </w:pPr>
      <w:r>
        <w:rPr>
          <w:b/>
          <w:bCs/>
        </w:rPr>
        <w:t>Proposal</w:t>
      </w:r>
      <w:r w:rsidR="00D4419F" w:rsidRPr="00284344">
        <w:rPr>
          <w:b/>
          <w:bCs/>
        </w:rPr>
        <w:t xml:space="preserve"> </w:t>
      </w:r>
      <w:r w:rsidR="00A85A62">
        <w:rPr>
          <w:b/>
          <w:bCs/>
        </w:rPr>
        <w:t>4</w:t>
      </w:r>
      <w:r w:rsidR="00D4419F" w:rsidRPr="00284344">
        <w:rPr>
          <w:b/>
          <w:bCs/>
        </w:rPr>
        <w:t>: UE</w:t>
      </w:r>
      <w:r w:rsidR="00B26F24">
        <w:rPr>
          <w:b/>
          <w:bCs/>
        </w:rPr>
        <w:t xml:space="preserve"> is expected to</w:t>
      </w:r>
      <w:r>
        <w:rPr>
          <w:b/>
          <w:bCs/>
        </w:rPr>
        <w:t xml:space="preserve"> avoid frequent acquisitions of </w:t>
      </w:r>
      <w:r w:rsidR="00944BBA">
        <w:rPr>
          <w:b/>
          <w:bCs/>
        </w:rPr>
        <w:t>serving cell/target</w:t>
      </w:r>
      <w:r>
        <w:rPr>
          <w:b/>
          <w:bCs/>
        </w:rPr>
        <w:t xml:space="preserve"> cell</w:t>
      </w:r>
      <w:r w:rsidR="00944BBA">
        <w:rPr>
          <w:b/>
          <w:bCs/>
        </w:rPr>
        <w:t>’s</w:t>
      </w:r>
      <w:r>
        <w:rPr>
          <w:b/>
          <w:bCs/>
        </w:rPr>
        <w:t xml:space="preserve"> reference location </w:t>
      </w:r>
      <w:r w:rsidR="000917F0" w:rsidRPr="2C57998E">
        <w:rPr>
          <w:b/>
          <w:bCs/>
        </w:rPr>
        <w:t>because</w:t>
      </w:r>
      <w:r>
        <w:rPr>
          <w:b/>
          <w:bCs/>
        </w:rPr>
        <w:t xml:space="preserve"> it </w:t>
      </w:r>
      <w:r w:rsidR="0056046C" w:rsidRPr="2C57998E">
        <w:rPr>
          <w:b/>
          <w:bCs/>
        </w:rPr>
        <w:t>propagate</w:t>
      </w:r>
      <w:r w:rsidR="005350EF">
        <w:rPr>
          <w:b/>
          <w:bCs/>
        </w:rPr>
        <w:t>s</w:t>
      </w:r>
      <w:r w:rsidR="0056046C" w:rsidRPr="2C57998E">
        <w:rPr>
          <w:b/>
          <w:bCs/>
        </w:rPr>
        <w:t xml:space="preserve"> the cells</w:t>
      </w:r>
      <w:r>
        <w:rPr>
          <w:b/>
          <w:bCs/>
        </w:rPr>
        <w:t xml:space="preserve"> movement over time based on satellite </w:t>
      </w:r>
      <w:r w:rsidR="00944BBA">
        <w:rPr>
          <w:b/>
          <w:bCs/>
        </w:rPr>
        <w:t>information</w:t>
      </w:r>
      <w:r w:rsidR="00A85A62">
        <w:rPr>
          <w:b/>
          <w:bCs/>
        </w:rPr>
        <w:t xml:space="preserve"> (</w:t>
      </w:r>
      <w:proofErr w:type="gramStart"/>
      <w:r w:rsidR="00A85A62">
        <w:rPr>
          <w:b/>
          <w:bCs/>
        </w:rPr>
        <w:t>e.g.</w:t>
      </w:r>
      <w:proofErr w:type="gramEnd"/>
      <w:r w:rsidR="00A85A62">
        <w:rPr>
          <w:b/>
          <w:bCs/>
        </w:rPr>
        <w:t xml:space="preserve"> ephemeris)</w:t>
      </w:r>
      <w:r w:rsidR="00D4419F" w:rsidRPr="00284344">
        <w:rPr>
          <w:b/>
          <w:bCs/>
        </w:rPr>
        <w:t>.</w:t>
      </w:r>
    </w:p>
    <w:p w14:paraId="3208A803" w14:textId="65F35D1B" w:rsidR="001806C1" w:rsidRDefault="00411615" w:rsidP="00411615">
      <w:pPr>
        <w:jc w:val="both"/>
      </w:pPr>
      <w:r>
        <w:t>Even though for EMC cases a UE configured with a location-based trigger should continuously update the cell</w:t>
      </w:r>
      <w:r w:rsidR="00D4419F">
        <w:t>s</w:t>
      </w:r>
      <w:r>
        <w:t xml:space="preserve"> reference location, this is not the case for other scenarios such as EFC-based LEO and GEO. For such cases, a UE could be configured with a location-based trigger but there is no need for the UE to continuously update the reference location. </w:t>
      </w:r>
      <w:r w:rsidR="00AF589E">
        <w:t xml:space="preserve">Thus, the UE </w:t>
      </w:r>
      <w:r w:rsidR="00733107">
        <w:t>can detect that it is camping in a moving cell</w:t>
      </w:r>
      <w:r w:rsidR="0055330B">
        <w:t xml:space="preserve"> – </w:t>
      </w:r>
      <w:r w:rsidR="008F7285">
        <w:t>via implicit or explicit network indication</w:t>
      </w:r>
      <w:r w:rsidR="0055330B">
        <w:t xml:space="preserve"> -</w:t>
      </w:r>
      <w:r w:rsidR="00AF589E">
        <w:t xml:space="preserve"> to propagate cell</w:t>
      </w:r>
      <w:r w:rsidR="0055330B">
        <w:t>s</w:t>
      </w:r>
      <w:r w:rsidR="00AF589E">
        <w:t xml:space="preserve"> reference location over time</w:t>
      </w:r>
      <w:r w:rsidR="00CE2E42">
        <w:t>.</w:t>
      </w:r>
      <w:r w:rsidR="001806C1">
        <w:t xml:space="preserve"> </w:t>
      </w:r>
      <w:r>
        <w:t xml:space="preserve"> </w:t>
      </w:r>
    </w:p>
    <w:p w14:paraId="03646A7B" w14:textId="60185B7A" w:rsidR="005350EF" w:rsidRDefault="0055330B" w:rsidP="00411615">
      <w:pPr>
        <w:jc w:val="both"/>
        <w:rPr>
          <w:b/>
          <w:bCs/>
        </w:rPr>
      </w:pPr>
      <w:r>
        <w:rPr>
          <w:b/>
          <w:bCs/>
        </w:rPr>
        <w:t>Observation</w:t>
      </w:r>
      <w:r w:rsidR="00411615" w:rsidRPr="002D32F8">
        <w:rPr>
          <w:b/>
          <w:bCs/>
        </w:rPr>
        <w:t xml:space="preserve"> </w:t>
      </w:r>
      <w:r w:rsidR="00A85A62">
        <w:rPr>
          <w:b/>
          <w:bCs/>
        </w:rPr>
        <w:t>2</w:t>
      </w:r>
      <w:r w:rsidR="00411615" w:rsidRPr="002D32F8">
        <w:rPr>
          <w:b/>
          <w:bCs/>
        </w:rPr>
        <w:t xml:space="preserve">: </w:t>
      </w:r>
      <w:r w:rsidR="005350EF">
        <w:rPr>
          <w:b/>
          <w:bCs/>
        </w:rPr>
        <w:t>T</w:t>
      </w:r>
      <w:r w:rsidR="00411615" w:rsidRPr="002D32F8">
        <w:rPr>
          <w:b/>
          <w:bCs/>
        </w:rPr>
        <w:t>he UE</w:t>
      </w:r>
      <w:r w:rsidR="00411615">
        <w:rPr>
          <w:b/>
          <w:bCs/>
        </w:rPr>
        <w:t xml:space="preserve"> </w:t>
      </w:r>
      <w:r w:rsidR="00E66D81">
        <w:rPr>
          <w:b/>
          <w:bCs/>
        </w:rPr>
        <w:t>know</w:t>
      </w:r>
      <w:r w:rsidR="005350EF">
        <w:rPr>
          <w:b/>
          <w:bCs/>
        </w:rPr>
        <w:t xml:space="preserve">s how </w:t>
      </w:r>
      <w:r w:rsidR="00E66D81">
        <w:rPr>
          <w:b/>
          <w:bCs/>
        </w:rPr>
        <w:t>cells reference location</w:t>
      </w:r>
      <w:r w:rsidR="005350EF">
        <w:rPr>
          <w:b/>
          <w:bCs/>
        </w:rPr>
        <w:t xml:space="preserve"> propagates</w:t>
      </w:r>
      <w:r w:rsidR="00E66D81">
        <w:rPr>
          <w:b/>
          <w:bCs/>
        </w:rPr>
        <w:t xml:space="preserve"> over time based on </w:t>
      </w:r>
      <w:r w:rsidR="00AD1D9A">
        <w:rPr>
          <w:b/>
          <w:bCs/>
        </w:rPr>
        <w:t>system</w:t>
      </w:r>
      <w:r w:rsidR="00E66D81">
        <w:rPr>
          <w:b/>
          <w:bCs/>
        </w:rPr>
        <w:t xml:space="preserve"> information</w:t>
      </w:r>
      <w:r w:rsidR="00411615">
        <w:rPr>
          <w:b/>
          <w:bCs/>
        </w:rPr>
        <w:t>.</w:t>
      </w:r>
    </w:p>
    <w:p w14:paraId="4DD151E0" w14:textId="77777777" w:rsidR="00BE6574" w:rsidRPr="00284344" w:rsidRDefault="005350EF" w:rsidP="00411615">
      <w:pPr>
        <w:jc w:val="both"/>
      </w:pPr>
      <w:r w:rsidRPr="00284344">
        <w:t xml:space="preserve">To know if the cell is </w:t>
      </w:r>
      <w:r w:rsidR="00BE6574" w:rsidRPr="00284344">
        <w:t>EFC or EMC type, the UE may check if t-Service is present in SIB19.</w:t>
      </w:r>
    </w:p>
    <w:p w14:paraId="2CC3DC6E" w14:textId="0B490DA4" w:rsidR="004B426F" w:rsidRPr="00284344" w:rsidRDefault="00BE6574" w:rsidP="00284344">
      <w:pPr>
        <w:jc w:val="both"/>
        <w:rPr>
          <w:b/>
        </w:rPr>
      </w:pPr>
      <w:r>
        <w:rPr>
          <w:b/>
          <w:bCs/>
        </w:rPr>
        <w:t>Observation 3: UE may check if t-Service is present in SIB19 to tell if the cell is of EFC or EMC type.</w:t>
      </w:r>
    </w:p>
    <w:p w14:paraId="1E46BC57" w14:textId="6558DCDD" w:rsidR="004B426F" w:rsidRDefault="00EF6B96" w:rsidP="004B426F">
      <w:pPr>
        <w:pStyle w:val="Heading2"/>
      </w:pPr>
      <w:r>
        <w:t>2.3</w:t>
      </w:r>
      <w:r>
        <w:tab/>
      </w:r>
      <w:r w:rsidR="004B426F">
        <w:t xml:space="preserve">RACH-less </w:t>
      </w:r>
      <w:r w:rsidR="001F46AC">
        <w:t>handover</w:t>
      </w:r>
    </w:p>
    <w:p w14:paraId="7A6FBE70" w14:textId="49372333" w:rsidR="00F1124B" w:rsidRPr="0006102D" w:rsidRDefault="00F1124B" w:rsidP="00F1124B">
      <w:r>
        <w:t>At RAN2#121 the following decision has been agreed</w:t>
      </w:r>
      <w:r w:rsidR="00D01692">
        <w:t xml:space="preserve"> </w:t>
      </w:r>
      <w:r w:rsidR="00D01692">
        <w:fldChar w:fldCharType="begin"/>
      </w:r>
      <w:r w:rsidR="00D01692">
        <w:instrText xml:space="preserve"> REF _Ref130826656 \w \h </w:instrText>
      </w:r>
      <w:r w:rsidR="00D01692">
        <w:fldChar w:fldCharType="separate"/>
      </w:r>
      <w:r w:rsidR="00D01692">
        <w:t>[1]</w:t>
      </w:r>
      <w:r w:rsidR="00D01692">
        <w:fldChar w:fldCharType="end"/>
      </w:r>
      <w:r>
        <w:t>:</w:t>
      </w:r>
    </w:p>
    <w:tbl>
      <w:tblPr>
        <w:tblStyle w:val="TableGrid"/>
        <w:tblW w:w="0" w:type="auto"/>
        <w:tblLook w:val="04A0" w:firstRow="1" w:lastRow="0" w:firstColumn="1" w:lastColumn="0" w:noHBand="0" w:noVBand="1"/>
      </w:tblPr>
      <w:tblGrid>
        <w:gridCol w:w="9631"/>
      </w:tblGrid>
      <w:tr w:rsidR="00304938" w14:paraId="62E78258" w14:textId="77777777" w:rsidTr="00304938">
        <w:tc>
          <w:tcPr>
            <w:tcW w:w="9631" w:type="dxa"/>
          </w:tcPr>
          <w:p w14:paraId="66805D48" w14:textId="77777777" w:rsidR="00304938" w:rsidRPr="000F788B" w:rsidRDefault="00304938" w:rsidP="00304938">
            <w:pPr>
              <w:jc w:val="both"/>
              <w:rPr>
                <w:lang w:val="en-US"/>
              </w:rPr>
            </w:pPr>
            <w:r w:rsidRPr="000F788B">
              <w:rPr>
                <w:lang w:val="en-US"/>
              </w:rPr>
              <w:t>1.</w:t>
            </w:r>
            <w:r w:rsidRPr="000F788B">
              <w:rPr>
                <w:lang w:val="en-US"/>
              </w:rPr>
              <w:tab/>
              <w:t>Support RACH-less Handover in Rel-18.</w:t>
            </w:r>
          </w:p>
          <w:p w14:paraId="658781E6" w14:textId="77777777" w:rsidR="00304938" w:rsidRPr="000F788B" w:rsidRDefault="00304938" w:rsidP="00304938">
            <w:pPr>
              <w:jc w:val="both"/>
              <w:rPr>
                <w:lang w:val="en-US"/>
              </w:rPr>
            </w:pPr>
            <w:r w:rsidRPr="000F788B">
              <w:rPr>
                <w:lang w:val="en-US"/>
              </w:rPr>
              <w:t>2.</w:t>
            </w:r>
            <w:r w:rsidRPr="000F788B">
              <w:rPr>
                <w:lang w:val="en-US"/>
              </w:rPr>
              <w:tab/>
              <w:t>RACH-less Handover in NR NTN is a L3 mobility procedure (FFS if this is combined with the unchanged PCI approach, if supported) and uses the LTE’s RACH-less Handover procedure as a baseline. FFS on TA acquisition</w:t>
            </w:r>
          </w:p>
          <w:p w14:paraId="1A8F403B" w14:textId="77777777" w:rsidR="00304938" w:rsidRPr="000F788B" w:rsidRDefault="00304938" w:rsidP="00304938">
            <w:pPr>
              <w:jc w:val="both"/>
              <w:rPr>
                <w:lang w:val="en-US"/>
              </w:rPr>
            </w:pPr>
            <w:r w:rsidRPr="000F788B">
              <w:rPr>
                <w:lang w:val="en-US"/>
              </w:rPr>
              <w:t>3.</w:t>
            </w:r>
            <w:r w:rsidRPr="000F788B">
              <w:rPr>
                <w:lang w:val="en-US"/>
              </w:rPr>
              <w:tab/>
              <w:t>In NTN RACH-less handover, network indicates (implicitly or explicitly) whether NTA in the target cell is identical to the source cell or explicitly provided by the NW.</w:t>
            </w:r>
          </w:p>
          <w:p w14:paraId="7D8142AA" w14:textId="049FCB96" w:rsidR="00304938" w:rsidRDefault="00304938" w:rsidP="00304938">
            <w:r w:rsidRPr="000F788B">
              <w:rPr>
                <w:lang w:val="en-US"/>
              </w:rPr>
              <w:t>4.</w:t>
            </w:r>
            <w:r w:rsidRPr="000F788B">
              <w:rPr>
                <w:lang w:val="en-US"/>
              </w:rPr>
              <w:tab/>
              <w:t>Support dynamic grant from the target cell for RACH-less PUSCH transmission to reduce random access congestion in the target cell. FFS whether to limit the solution to same feeder link/gateway scenario</w:t>
            </w:r>
            <w:r>
              <w:rPr>
                <w:lang w:val="en-US"/>
              </w:rPr>
              <w:t>.</w:t>
            </w:r>
          </w:p>
        </w:tc>
      </w:tr>
    </w:tbl>
    <w:p w14:paraId="7E9A8FE4" w14:textId="726ACE6A" w:rsidR="00E6216B" w:rsidRDefault="00284344" w:rsidP="00284344">
      <w:pPr>
        <w:jc w:val="both"/>
      </w:pPr>
      <w:r>
        <w:br/>
      </w:r>
      <w:r w:rsidR="00CC2D6E">
        <w:t>In the last RAN2#121</w:t>
      </w:r>
      <w:r w:rsidR="00041DBD">
        <w:t xml:space="preserve"> meeting was agreed to support</w:t>
      </w:r>
      <w:r w:rsidR="00CC2D6E">
        <w:t xml:space="preserve"> RACH-less HO</w:t>
      </w:r>
      <w:r w:rsidR="0006651E">
        <w:t>, which is</w:t>
      </w:r>
      <w:r w:rsidR="009D2C03">
        <w:t xml:space="preserve"> based </w:t>
      </w:r>
      <w:r w:rsidR="004C24C7">
        <w:t>on the working principle of LTE’s RACH-less handover for terrestrial networks.</w:t>
      </w:r>
      <w:r w:rsidR="00F30958">
        <w:t xml:space="preserve"> This agreement set a general scope</w:t>
      </w:r>
      <w:r w:rsidR="00275016">
        <w:t xml:space="preserve">, without specifying </w:t>
      </w:r>
      <w:r w:rsidR="00914C47">
        <w:t>whether</w:t>
      </w:r>
      <w:r w:rsidR="00BC0BC4">
        <w:t xml:space="preserve"> the RACH-less concept shall be</w:t>
      </w:r>
      <w:r w:rsidR="00B82BB2">
        <w:t xml:space="preserve"> only</w:t>
      </w:r>
      <w:r w:rsidR="00BC0BC4">
        <w:t xml:space="preserve"> combined with</w:t>
      </w:r>
      <w:r w:rsidR="00862990">
        <w:t xml:space="preserve"> the</w:t>
      </w:r>
      <w:r w:rsidR="00914C47">
        <w:t xml:space="preserve"> CHO</w:t>
      </w:r>
      <w:r w:rsidR="00862990">
        <w:t xml:space="preserve"> procedure, </w:t>
      </w:r>
      <w:r w:rsidR="008C1B25">
        <w:t xml:space="preserve">i.e., </w:t>
      </w:r>
      <w:r w:rsidR="00060976">
        <w:t>baseline HO mechanism for NTN</w:t>
      </w:r>
      <w:r w:rsidR="00862990">
        <w:t>.</w:t>
      </w:r>
      <w:r w:rsidR="00357183">
        <w:t xml:space="preserve"> Can the RACH-less concept be combined with CHO for NTN?</w:t>
      </w:r>
      <w:r w:rsidR="009E4F38">
        <w:t xml:space="preserve"> What does it change from RACH-less HO to RACH-less CHO?</w:t>
      </w:r>
      <w:r w:rsidR="00C615FE">
        <w:t xml:space="preserve"> </w:t>
      </w:r>
    </w:p>
    <w:p w14:paraId="3503D281" w14:textId="45E19D40" w:rsidR="000E6909" w:rsidRPr="00284344" w:rsidRDefault="00E6216B" w:rsidP="000E6909">
      <w:pPr>
        <w:rPr>
          <w:b/>
        </w:rPr>
      </w:pPr>
      <w:r w:rsidRPr="00284344">
        <w:rPr>
          <w:b/>
          <w:bCs/>
        </w:rPr>
        <w:t xml:space="preserve">Proposal </w:t>
      </w:r>
      <w:r w:rsidR="0091214B">
        <w:rPr>
          <w:b/>
          <w:bCs/>
        </w:rPr>
        <w:t>5</w:t>
      </w:r>
      <w:r w:rsidRPr="00284344">
        <w:rPr>
          <w:b/>
          <w:bCs/>
        </w:rPr>
        <w:t xml:space="preserve">: RAN2 to discuss the scope of RACH-less in Rel-18. </w:t>
      </w:r>
      <w:proofErr w:type="gramStart"/>
      <w:r w:rsidR="0091214B">
        <w:rPr>
          <w:b/>
          <w:bCs/>
        </w:rPr>
        <w:t>In particular, c</w:t>
      </w:r>
      <w:r w:rsidRPr="00284344">
        <w:rPr>
          <w:b/>
          <w:bCs/>
        </w:rPr>
        <w:t>an</w:t>
      </w:r>
      <w:proofErr w:type="gramEnd"/>
      <w:r w:rsidR="00BE6725">
        <w:rPr>
          <w:b/>
          <w:bCs/>
        </w:rPr>
        <w:t xml:space="preserve"> it be</w:t>
      </w:r>
      <w:r w:rsidRPr="00284344">
        <w:rPr>
          <w:b/>
          <w:bCs/>
        </w:rPr>
        <w:t xml:space="preserve"> combined with CHO for NTN?</w:t>
      </w:r>
    </w:p>
    <w:p w14:paraId="675DC308" w14:textId="7B5A7750" w:rsidR="001A3D24" w:rsidRDefault="001A3D24" w:rsidP="00284344">
      <w:pPr>
        <w:jc w:val="both"/>
      </w:pPr>
      <w:r>
        <w:t xml:space="preserve">According to recent LS </w:t>
      </w:r>
      <w:r w:rsidR="00360C64">
        <w:t>response</w:t>
      </w:r>
      <w:r>
        <w:t xml:space="preserve"> from RAN1, RACH-less HO is possible for intra-satellite and intra-gateway scenario and may be possible also in other scenarios. </w:t>
      </w:r>
      <w:r w:rsidR="00893A08">
        <w:t>Based on this response RAN2 agreed</w:t>
      </w:r>
      <w:r w:rsidR="000E182B">
        <w:t xml:space="preserve"> </w:t>
      </w:r>
      <w:r w:rsidR="00893A08">
        <w:t xml:space="preserve">in the last meeting to support RACH-less handover in Rel-18. However, </w:t>
      </w:r>
      <w:r w:rsidR="0082532D">
        <w:t xml:space="preserve">some issues were left to be decided such as how the UE is provisioned with the TA of the target cell. </w:t>
      </w:r>
      <w:r w:rsidR="008321C1">
        <w:t xml:space="preserve">In our view, for intra-satellite handover with same feeder link, the UE could </w:t>
      </w:r>
      <w:r w:rsidR="003D6C84">
        <w:t>re-use the TA value, so no explicit indication from the network would be required.</w:t>
      </w:r>
      <w:r w:rsidR="005E58B7">
        <w:t xml:space="preserve"> Despite there is no implicit indication in system information</w:t>
      </w:r>
      <w:r w:rsidR="008C4953">
        <w:t xml:space="preserve">, the UE can infer </w:t>
      </w:r>
      <w:r w:rsidR="00BC3C8E">
        <w:t>that target cell belongs to the same satellite</w:t>
      </w:r>
      <w:r w:rsidR="003C5F88">
        <w:t xml:space="preserve"> </w:t>
      </w:r>
      <w:r w:rsidR="00BC3C8E">
        <w:t>based on</w:t>
      </w:r>
      <w:r w:rsidR="005C0AA2">
        <w:t>, e.g.,</w:t>
      </w:r>
      <w:r w:rsidR="00BC3C8E">
        <w:t xml:space="preserve"> neighbour cells ephemeris contained in SIB19</w:t>
      </w:r>
      <w:r w:rsidR="005C0AA2">
        <w:t xml:space="preserve"> and common delay parameters</w:t>
      </w:r>
      <w:r w:rsidR="00BC3C8E">
        <w:t xml:space="preserve">. </w:t>
      </w:r>
    </w:p>
    <w:p w14:paraId="7F2E0A8D" w14:textId="2943DE6B" w:rsidR="009949D3" w:rsidRDefault="009949D3" w:rsidP="00284344">
      <w:pPr>
        <w:jc w:val="both"/>
        <w:rPr>
          <w:b/>
          <w:bCs/>
        </w:rPr>
      </w:pPr>
      <w:r w:rsidRPr="00284344">
        <w:rPr>
          <w:b/>
          <w:bCs/>
        </w:rPr>
        <w:t xml:space="preserve">Proposal </w:t>
      </w:r>
      <w:r w:rsidR="0091214B">
        <w:rPr>
          <w:b/>
          <w:bCs/>
        </w:rPr>
        <w:t>6</w:t>
      </w:r>
      <w:r w:rsidRPr="00284344">
        <w:rPr>
          <w:b/>
          <w:bCs/>
        </w:rPr>
        <w:t xml:space="preserve">: </w:t>
      </w:r>
      <w:r w:rsidR="008F5E3C" w:rsidRPr="00457A05">
        <w:rPr>
          <w:b/>
          <w:bCs/>
        </w:rPr>
        <w:t>For intra-satellite and intra-gateway scenario</w:t>
      </w:r>
      <w:r w:rsidR="008F5E3C">
        <w:rPr>
          <w:b/>
          <w:bCs/>
        </w:rPr>
        <w:t>s</w:t>
      </w:r>
      <w:r w:rsidR="009F286E">
        <w:rPr>
          <w:b/>
          <w:bCs/>
        </w:rPr>
        <w:t xml:space="preserve">, the UE </w:t>
      </w:r>
      <w:r w:rsidR="00E867EA">
        <w:rPr>
          <w:b/>
          <w:bCs/>
        </w:rPr>
        <w:t xml:space="preserve">can </w:t>
      </w:r>
      <w:r w:rsidR="000C1567">
        <w:rPr>
          <w:b/>
          <w:bCs/>
        </w:rPr>
        <w:t>determine</w:t>
      </w:r>
      <w:r w:rsidR="00A400CA">
        <w:rPr>
          <w:b/>
          <w:bCs/>
        </w:rPr>
        <w:t xml:space="preserve"> (</w:t>
      </w:r>
      <w:proofErr w:type="gramStart"/>
      <w:r w:rsidR="00A400CA">
        <w:rPr>
          <w:b/>
          <w:bCs/>
        </w:rPr>
        <w:t>e.g.</w:t>
      </w:r>
      <w:proofErr w:type="gramEnd"/>
      <w:r w:rsidR="00A400CA">
        <w:rPr>
          <w:b/>
          <w:bCs/>
        </w:rPr>
        <w:t xml:space="preserve"> using ephemeris)</w:t>
      </w:r>
      <w:r w:rsidR="000E748D">
        <w:rPr>
          <w:b/>
          <w:bCs/>
        </w:rPr>
        <w:t xml:space="preserve"> that handover is executed </w:t>
      </w:r>
      <w:r w:rsidR="0091214B">
        <w:rPr>
          <w:b/>
          <w:bCs/>
        </w:rPr>
        <w:t xml:space="preserve">within the same </w:t>
      </w:r>
      <w:r w:rsidR="000E748D">
        <w:rPr>
          <w:b/>
          <w:bCs/>
        </w:rPr>
        <w:t>satellite</w:t>
      </w:r>
      <w:r w:rsidR="00C353CB">
        <w:rPr>
          <w:b/>
          <w:bCs/>
        </w:rPr>
        <w:t xml:space="preserve"> and gateway</w:t>
      </w:r>
      <w:r w:rsidR="000E748D">
        <w:rPr>
          <w:b/>
          <w:bCs/>
        </w:rPr>
        <w:t xml:space="preserve"> conditions and</w:t>
      </w:r>
      <w:r w:rsidR="000C1567">
        <w:rPr>
          <w:b/>
          <w:bCs/>
        </w:rPr>
        <w:t xml:space="preserve"> </w:t>
      </w:r>
      <w:r w:rsidR="00A80D0C" w:rsidRPr="00284344">
        <w:rPr>
          <w:b/>
          <w:bCs/>
        </w:rPr>
        <w:t>reuse</w:t>
      </w:r>
      <w:r w:rsidR="0091214B">
        <w:rPr>
          <w:b/>
          <w:bCs/>
        </w:rPr>
        <w:t>s the</w:t>
      </w:r>
      <w:r w:rsidR="00A80D0C" w:rsidRPr="00284344">
        <w:rPr>
          <w:b/>
          <w:bCs/>
        </w:rPr>
        <w:t xml:space="preserve"> TA value. </w:t>
      </w:r>
      <w:r w:rsidRPr="00284344">
        <w:rPr>
          <w:b/>
          <w:bCs/>
        </w:rPr>
        <w:t xml:space="preserve"> </w:t>
      </w:r>
    </w:p>
    <w:p w14:paraId="1A3B92B9" w14:textId="60EE84F6" w:rsidR="000E6909" w:rsidRDefault="000C4B9F" w:rsidP="00284344">
      <w:pPr>
        <w:jc w:val="both"/>
      </w:pPr>
      <w:r>
        <w:t xml:space="preserve">For the rest of scenarios, </w:t>
      </w:r>
      <w:proofErr w:type="gramStart"/>
      <w:r>
        <w:t>i.e.</w:t>
      </w:r>
      <w:proofErr w:type="gramEnd"/>
      <w:r>
        <w:t xml:space="preserve"> inter-satellite and/or different feeder link, </w:t>
      </w:r>
      <w:r w:rsidR="00290BBC">
        <w:t xml:space="preserve">there is no way for the UE to </w:t>
      </w:r>
      <w:r w:rsidR="00540864">
        <w:t>infer the new TA value</w:t>
      </w:r>
      <w:r w:rsidR="00A400CA">
        <w:t>, so</w:t>
      </w:r>
      <w:r w:rsidR="00540864">
        <w:t xml:space="preserve"> the network </w:t>
      </w:r>
      <w:r w:rsidR="00A400CA">
        <w:t>needs to</w:t>
      </w:r>
      <w:r w:rsidR="00540864">
        <w:t xml:space="preserve"> explicitly indicate this value, e.g., as part of the HO command.</w:t>
      </w:r>
    </w:p>
    <w:p w14:paraId="3CFD1301" w14:textId="2D51B93E" w:rsidR="00054B63" w:rsidRPr="00284344" w:rsidRDefault="00A80D0C" w:rsidP="00284344">
      <w:pPr>
        <w:jc w:val="both"/>
        <w:rPr>
          <w:b/>
          <w:bCs/>
        </w:rPr>
      </w:pPr>
      <w:r w:rsidRPr="00284344">
        <w:rPr>
          <w:b/>
          <w:bCs/>
        </w:rPr>
        <w:t xml:space="preserve">Proposal </w:t>
      </w:r>
      <w:r w:rsidR="00A400CA">
        <w:rPr>
          <w:b/>
          <w:bCs/>
        </w:rPr>
        <w:t>7</w:t>
      </w:r>
      <w:r w:rsidRPr="00284344">
        <w:rPr>
          <w:b/>
          <w:bCs/>
        </w:rPr>
        <w:t xml:space="preserve">: </w:t>
      </w:r>
      <w:r w:rsidR="001A19DF" w:rsidRPr="00284344">
        <w:rPr>
          <w:b/>
          <w:bCs/>
        </w:rPr>
        <w:t>F</w:t>
      </w:r>
      <w:r w:rsidRPr="00284344">
        <w:rPr>
          <w:b/>
          <w:bCs/>
        </w:rPr>
        <w:t xml:space="preserve">or </w:t>
      </w:r>
      <w:r w:rsidR="00982B74" w:rsidRPr="00284344">
        <w:rPr>
          <w:b/>
          <w:bCs/>
        </w:rPr>
        <w:t>other scenarios</w:t>
      </w:r>
      <w:r w:rsidR="00A400CA">
        <w:rPr>
          <w:b/>
          <w:bCs/>
        </w:rPr>
        <w:t xml:space="preserve"> than intra-satellite with the same FL</w:t>
      </w:r>
      <w:r w:rsidR="00683FAC" w:rsidRPr="00284344">
        <w:rPr>
          <w:b/>
          <w:bCs/>
        </w:rPr>
        <w:t>,</w:t>
      </w:r>
      <w:r w:rsidR="00982B74" w:rsidRPr="00284344">
        <w:rPr>
          <w:b/>
          <w:bCs/>
        </w:rPr>
        <w:t xml:space="preserve"> </w:t>
      </w:r>
      <w:r w:rsidR="0032196E" w:rsidRPr="00284344">
        <w:rPr>
          <w:b/>
          <w:bCs/>
        </w:rPr>
        <w:t xml:space="preserve">the UE cannot infer the new TA value and </w:t>
      </w:r>
      <w:r w:rsidR="00982B74" w:rsidRPr="00284344">
        <w:rPr>
          <w:b/>
          <w:bCs/>
        </w:rPr>
        <w:t xml:space="preserve">explicit </w:t>
      </w:r>
      <w:r w:rsidR="0032196E" w:rsidRPr="00284344">
        <w:rPr>
          <w:b/>
          <w:bCs/>
        </w:rPr>
        <w:t xml:space="preserve">network </w:t>
      </w:r>
      <w:r w:rsidR="00982B74" w:rsidRPr="00284344">
        <w:rPr>
          <w:b/>
          <w:bCs/>
        </w:rPr>
        <w:t>indication</w:t>
      </w:r>
      <w:r w:rsidR="00A400CA">
        <w:rPr>
          <w:b/>
          <w:bCs/>
        </w:rPr>
        <w:t xml:space="preserve"> is needed</w:t>
      </w:r>
      <w:r w:rsidR="0032196E" w:rsidRPr="00284344">
        <w:rPr>
          <w:b/>
          <w:bCs/>
        </w:rPr>
        <w:t>.</w:t>
      </w:r>
      <w:r w:rsidR="00982B74" w:rsidRPr="00284344">
        <w:rPr>
          <w:b/>
          <w:bCs/>
        </w:rPr>
        <w:t xml:space="preserve"> </w:t>
      </w:r>
      <w:r w:rsidR="00683FAC" w:rsidRPr="00284344">
        <w:rPr>
          <w:b/>
          <w:bCs/>
        </w:rPr>
        <w:t xml:space="preserve"> </w:t>
      </w:r>
    </w:p>
    <w:p w14:paraId="53576277" w14:textId="333C3BD8" w:rsidR="00FE3913" w:rsidRPr="00284344" w:rsidRDefault="008B5581" w:rsidP="00284344">
      <w:pPr>
        <w:jc w:val="both"/>
      </w:pPr>
      <w:r>
        <w:t>As shown above, i</w:t>
      </w:r>
      <w:r w:rsidR="00E94AAF">
        <w:t xml:space="preserve">n </w:t>
      </w:r>
      <w:r>
        <w:t xml:space="preserve">the last </w:t>
      </w:r>
      <w:r w:rsidR="00E94AAF">
        <w:t>RAN2#121</w:t>
      </w:r>
      <w:r>
        <w:t xml:space="preserve"> meeting, it was agreed that RACH-less HO</w:t>
      </w:r>
      <w:r w:rsidR="006F5D0D">
        <w:t xml:space="preserve"> is supported</w:t>
      </w:r>
      <w:r w:rsidR="000D45D7">
        <w:t xml:space="preserve"> for NTN</w:t>
      </w:r>
      <w:r w:rsidR="006F5D0D">
        <w:t xml:space="preserve"> as well as it requires L3 mobility</w:t>
      </w:r>
      <w:r w:rsidR="000D45D7">
        <w:t>, i.e., a handover event takes place</w:t>
      </w:r>
      <w:r w:rsidR="00945242">
        <w:t xml:space="preserve"> with the corresponding target cell preparation, RRC signalling</w:t>
      </w:r>
      <w:r w:rsidR="009B103C">
        <w:t xml:space="preserve"> and RACH procedure</w:t>
      </w:r>
      <w:r w:rsidR="006F5D0D">
        <w:t>.</w:t>
      </w:r>
      <w:r w:rsidR="009B103C">
        <w:t xml:space="preserve"> </w:t>
      </w:r>
      <w:r w:rsidR="000C0A1C">
        <w:t xml:space="preserve">On the other hand, the unchanged PCI concept is </w:t>
      </w:r>
      <w:r w:rsidR="005340F9">
        <w:t>based</w:t>
      </w:r>
      <w:r w:rsidR="000C0A1C">
        <w:t xml:space="preserve"> on avoiding L3 mobil</w:t>
      </w:r>
      <w:r w:rsidR="00060C6D">
        <w:t>i</w:t>
      </w:r>
      <w:r w:rsidR="000C0A1C">
        <w:t>ty</w:t>
      </w:r>
      <w:r w:rsidR="00060C6D">
        <w:t xml:space="preserve"> </w:t>
      </w:r>
      <w:r w:rsidR="00A50D5A">
        <w:t>while it performs</w:t>
      </w:r>
      <w:r w:rsidR="00060C6D">
        <w:t xml:space="preserve"> a seamless </w:t>
      </w:r>
      <w:r w:rsidR="005340F9">
        <w:t>cell switch off/on.</w:t>
      </w:r>
      <w:r w:rsidR="001E4655">
        <w:t xml:space="preserve"> In our view, how the RACH-less HO</w:t>
      </w:r>
      <w:r w:rsidR="00D12808">
        <w:t xml:space="preserve"> is combined with the unchanged PCI approach</w:t>
      </w:r>
      <w:r w:rsidR="001F13B5">
        <w:t xml:space="preserve"> (if agreed)</w:t>
      </w:r>
      <w:r w:rsidR="00D12808">
        <w:t xml:space="preserve"> is unclear and RAN2 should discuss its feasibility.</w:t>
      </w:r>
    </w:p>
    <w:p w14:paraId="2B591F8C" w14:textId="1B22373E" w:rsidR="00DA1D3B" w:rsidRDefault="00DA1D3B" w:rsidP="00284344">
      <w:pPr>
        <w:jc w:val="both"/>
        <w:rPr>
          <w:b/>
          <w:bCs/>
        </w:rPr>
      </w:pPr>
      <w:r>
        <w:rPr>
          <w:b/>
          <w:bCs/>
        </w:rPr>
        <w:t xml:space="preserve">Observation </w:t>
      </w:r>
      <w:r w:rsidR="001F13B5">
        <w:rPr>
          <w:b/>
          <w:bCs/>
        </w:rPr>
        <w:t>4</w:t>
      </w:r>
      <w:r>
        <w:rPr>
          <w:b/>
          <w:bCs/>
        </w:rPr>
        <w:t xml:space="preserve">: RACH-less handover is a L3 mobility procedure while the unchanged PCI </w:t>
      </w:r>
      <w:r w:rsidR="001F13B5">
        <w:rPr>
          <w:b/>
          <w:bCs/>
        </w:rPr>
        <w:t>is supposed to be a lower layer procedure</w:t>
      </w:r>
      <w:r w:rsidR="001E0012">
        <w:rPr>
          <w:b/>
          <w:bCs/>
        </w:rPr>
        <w:t>.</w:t>
      </w:r>
    </w:p>
    <w:p w14:paraId="0FEC8A5A" w14:textId="24FB3AE4" w:rsidR="004B426F" w:rsidRPr="004B426F" w:rsidRDefault="003F1236" w:rsidP="00284344">
      <w:pPr>
        <w:jc w:val="both"/>
      </w:pPr>
      <w:r w:rsidRPr="00284344">
        <w:rPr>
          <w:b/>
          <w:bCs/>
        </w:rPr>
        <w:t xml:space="preserve">Proposal </w:t>
      </w:r>
      <w:r w:rsidR="001F13B5">
        <w:rPr>
          <w:b/>
          <w:bCs/>
        </w:rPr>
        <w:t>8</w:t>
      </w:r>
      <w:r w:rsidRPr="00284344">
        <w:rPr>
          <w:b/>
          <w:bCs/>
        </w:rPr>
        <w:t xml:space="preserve">: </w:t>
      </w:r>
      <w:r w:rsidR="00B90AFE" w:rsidRPr="00284344">
        <w:rPr>
          <w:b/>
          <w:bCs/>
        </w:rPr>
        <w:t>RAN2 to</w:t>
      </w:r>
      <w:r w:rsidR="00DA1D3B" w:rsidRPr="00284344">
        <w:rPr>
          <w:b/>
          <w:bCs/>
        </w:rPr>
        <w:t xml:space="preserve"> </w:t>
      </w:r>
      <w:r w:rsidR="00D20C36">
        <w:rPr>
          <w:b/>
          <w:bCs/>
        </w:rPr>
        <w:t xml:space="preserve">clarify </w:t>
      </w:r>
      <w:r w:rsidR="001F13B5">
        <w:rPr>
          <w:b/>
          <w:bCs/>
        </w:rPr>
        <w:t>whether and how</w:t>
      </w:r>
      <w:r w:rsidR="00DA1D3B" w:rsidRPr="00284344">
        <w:rPr>
          <w:b/>
          <w:bCs/>
        </w:rPr>
        <w:t xml:space="preserve"> RACH-less handover </w:t>
      </w:r>
      <w:r w:rsidR="00D20C36">
        <w:rPr>
          <w:b/>
          <w:bCs/>
        </w:rPr>
        <w:t xml:space="preserve">can be </w:t>
      </w:r>
      <w:r w:rsidR="00DA1D3B" w:rsidRPr="00284344">
        <w:rPr>
          <w:b/>
          <w:bCs/>
        </w:rPr>
        <w:t>combined with unchanged PCI approach</w:t>
      </w:r>
      <w:r w:rsidR="00D20C36">
        <w:rPr>
          <w:b/>
          <w:bCs/>
        </w:rPr>
        <w:t>.</w:t>
      </w:r>
    </w:p>
    <w:p w14:paraId="4CABB4B9" w14:textId="7A8F4A88" w:rsidR="00F540F3" w:rsidRDefault="00BB5043" w:rsidP="004B426F">
      <w:pPr>
        <w:pStyle w:val="Heading2"/>
      </w:pPr>
      <w:r>
        <w:t>2.</w:t>
      </w:r>
      <w:r w:rsidR="004B426F">
        <w:t>4</w:t>
      </w:r>
      <w:r>
        <w:t xml:space="preserve"> </w:t>
      </w:r>
      <w:r w:rsidR="0077077A">
        <w:tab/>
      </w:r>
      <w:r w:rsidR="004B426F">
        <w:t>Keeping PCI after satellite switches</w:t>
      </w:r>
    </w:p>
    <w:p w14:paraId="5AAB25CE" w14:textId="550F0103" w:rsidR="00F1124B" w:rsidRDefault="00F1124B" w:rsidP="00F1124B">
      <w:r>
        <w:t xml:space="preserve">At RAN2#121 the following </w:t>
      </w:r>
      <w:r w:rsidR="00304938">
        <w:t>working assumption</w:t>
      </w:r>
      <w:r>
        <w:t xml:space="preserve"> </w:t>
      </w:r>
      <w:r w:rsidR="00304938">
        <w:t>was</w:t>
      </w:r>
      <w:r>
        <w:t xml:space="preserve"> </w:t>
      </w:r>
      <w:r w:rsidR="008148D5">
        <w:t>made</w:t>
      </w:r>
      <w:r w:rsidR="00D01692">
        <w:t xml:space="preserve"> </w:t>
      </w:r>
      <w:r w:rsidR="00D01692">
        <w:fldChar w:fldCharType="begin"/>
      </w:r>
      <w:r w:rsidR="00D01692">
        <w:instrText xml:space="preserve"> REF _Ref130826656 \w \h </w:instrText>
      </w:r>
      <w:r w:rsidR="00D01692">
        <w:fldChar w:fldCharType="separate"/>
      </w:r>
      <w:r w:rsidR="00D01692">
        <w:t>[1]</w:t>
      </w:r>
      <w:r w:rsidR="00D01692">
        <w:fldChar w:fldCharType="end"/>
      </w:r>
      <w:r>
        <w:t>:</w:t>
      </w:r>
    </w:p>
    <w:tbl>
      <w:tblPr>
        <w:tblStyle w:val="TableGrid"/>
        <w:tblW w:w="0" w:type="auto"/>
        <w:tblLook w:val="04A0" w:firstRow="1" w:lastRow="0" w:firstColumn="1" w:lastColumn="0" w:noHBand="0" w:noVBand="1"/>
      </w:tblPr>
      <w:tblGrid>
        <w:gridCol w:w="9631"/>
      </w:tblGrid>
      <w:tr w:rsidR="00304938" w14:paraId="3967DA5E" w14:textId="77777777" w:rsidTr="00304938">
        <w:tc>
          <w:tcPr>
            <w:tcW w:w="9631" w:type="dxa"/>
          </w:tcPr>
          <w:p w14:paraId="5EFA0A3E" w14:textId="295FDB46" w:rsidR="00304938" w:rsidRDefault="00304938" w:rsidP="00304938">
            <w:r w:rsidRPr="00F84B1A">
              <w:rPr>
                <w:lang w:val="en-US"/>
              </w:rPr>
              <w:t xml:space="preserve">In quasi-earth fixed cell case, for hard satellite switch in the same SSB frequency and same </w:t>
            </w:r>
            <w:proofErr w:type="spellStart"/>
            <w:r w:rsidRPr="00F84B1A">
              <w:rPr>
                <w:lang w:val="en-US"/>
              </w:rPr>
              <w:t>gNB</w:t>
            </w:r>
            <w:proofErr w:type="spellEnd"/>
            <w:r w:rsidRPr="00F84B1A">
              <w:rPr>
                <w:lang w:val="en-US"/>
              </w:rPr>
              <w:t xml:space="preserve"> (no key change), satellite switching without PCI changing (not requiring L3 mobility) is supported.</w:t>
            </w:r>
          </w:p>
        </w:tc>
      </w:tr>
    </w:tbl>
    <w:p w14:paraId="55A2187C" w14:textId="77F997A7" w:rsidR="00313499" w:rsidRDefault="008148D5" w:rsidP="00DB0D1D">
      <w:pPr>
        <w:jc w:val="both"/>
      </w:pPr>
      <w:r>
        <w:br/>
      </w:r>
      <w:r w:rsidR="00DD4880">
        <w:t>With</w:t>
      </w:r>
      <w:r w:rsidR="00E16313" w:rsidRPr="00E16313">
        <w:t xml:space="preserve"> this scheme th</w:t>
      </w:r>
      <w:r w:rsidR="00DD4880">
        <w:t>e</w:t>
      </w:r>
      <w:r w:rsidR="00E16313" w:rsidRPr="00E16313">
        <w:t xml:space="preserve"> HO c</w:t>
      </w:r>
      <w:r w:rsidR="00DD4880">
        <w:t>ould</w:t>
      </w:r>
      <w:r w:rsidR="00E16313" w:rsidRPr="00E16313">
        <w:t xml:space="preserve"> be avoided if the same PCI is used after </w:t>
      </w:r>
      <w:r w:rsidR="00592809">
        <w:t xml:space="preserve">hard </w:t>
      </w:r>
      <w:r w:rsidR="00E16313" w:rsidRPr="00E16313">
        <w:t xml:space="preserve">satellite switch. If the cells will use the same </w:t>
      </w:r>
      <w:proofErr w:type="gramStart"/>
      <w:r w:rsidR="00E16313" w:rsidRPr="00E16313">
        <w:t>PCI</w:t>
      </w:r>
      <w:proofErr w:type="gramEnd"/>
      <w:r w:rsidR="00E16313" w:rsidRPr="00E16313">
        <w:t xml:space="preserve"> then indeed the UE may not differentiate between those cells. However,</w:t>
      </w:r>
      <w:r w:rsidR="00E16313">
        <w:t xml:space="preserve"> </w:t>
      </w:r>
      <w:r w:rsidR="00130F18">
        <w:t xml:space="preserve">during the satellite </w:t>
      </w:r>
      <w:r w:rsidR="00DB0D1D" w:rsidRPr="00DB0D1D">
        <w:t>switching, the timing and Doppler values</w:t>
      </w:r>
      <w:r w:rsidR="00130F18">
        <w:t xml:space="preserve"> unavoidably </w:t>
      </w:r>
      <w:r w:rsidR="00DB0D1D" w:rsidRPr="00DB0D1D">
        <w:t>change.</w:t>
      </w:r>
    </w:p>
    <w:p w14:paraId="5208D6DF" w14:textId="03EE2CF2" w:rsidR="00313499" w:rsidRPr="00284344" w:rsidRDefault="00313499" w:rsidP="00DB0D1D">
      <w:pPr>
        <w:jc w:val="both"/>
        <w:rPr>
          <w:b/>
        </w:rPr>
      </w:pPr>
      <w:r w:rsidRPr="00284344">
        <w:rPr>
          <w:b/>
        </w:rPr>
        <w:t xml:space="preserve">Observation </w:t>
      </w:r>
      <w:r w:rsidR="008C0AF1">
        <w:rPr>
          <w:b/>
          <w:bCs/>
        </w:rPr>
        <w:t>5</w:t>
      </w:r>
      <w:r w:rsidRPr="00284344">
        <w:rPr>
          <w:b/>
        </w:rPr>
        <w:t>: During the satellite switching, the timing and Doppler values unavoidably change.</w:t>
      </w:r>
    </w:p>
    <w:p w14:paraId="47624257" w14:textId="7CED2858" w:rsidR="005912CE" w:rsidRDefault="00DB0D1D" w:rsidP="00DF00E4">
      <w:pPr>
        <w:jc w:val="both"/>
      </w:pPr>
      <w:r w:rsidRPr="00DB0D1D">
        <w:t xml:space="preserve">Gains of this scheme </w:t>
      </w:r>
      <w:r w:rsidR="00AB0B8A">
        <w:t xml:space="preserve">may </w:t>
      </w:r>
      <w:r w:rsidRPr="00DB0D1D">
        <w:t>depend on the length of the gap between the time when previous cell</w:t>
      </w:r>
      <w:r w:rsidR="008C0AF1">
        <w:t>/satellite</w:t>
      </w:r>
      <w:r w:rsidRPr="00DB0D1D">
        <w:t xml:space="preserve"> stops providing coverage and new cell</w:t>
      </w:r>
      <w:r w:rsidR="008C0AF1">
        <w:t>/satellite</w:t>
      </w:r>
      <w:r w:rsidRPr="00DB0D1D">
        <w:t xml:space="preserve"> starts serving the UE.</w:t>
      </w:r>
      <w:r w:rsidR="008F5F87">
        <w:t xml:space="preserve"> P</w:t>
      </w:r>
      <w:r w:rsidR="008F5F87" w:rsidRPr="00DB0D1D">
        <w:t>erforming RACH is inevitable after the previous cell is switched off</w:t>
      </w:r>
      <w:r w:rsidR="007A5844">
        <w:t xml:space="preserve">. Another aspect to consider is </w:t>
      </w:r>
      <w:r w:rsidR="009F0FA7">
        <w:t>the</w:t>
      </w:r>
      <w:r w:rsidR="007A5844">
        <w:t xml:space="preserve"> </w:t>
      </w:r>
      <w:r w:rsidR="00201266">
        <w:t>RLF</w:t>
      </w:r>
      <w:r w:rsidR="009F0FA7">
        <w:t xml:space="preserve"> management</w:t>
      </w:r>
      <w:r w:rsidR="00201266">
        <w:t>.</w:t>
      </w:r>
      <w:r w:rsidR="009F0FA7">
        <w:t xml:space="preserve"> If </w:t>
      </w:r>
      <w:r w:rsidR="006A7EE3">
        <w:t>cell switching time is negligible,</w:t>
      </w:r>
      <w:r w:rsidR="00FF726C">
        <w:t xml:space="preserve"> </w:t>
      </w:r>
      <w:r w:rsidR="0084033C">
        <w:t>i.e.,</w:t>
      </w:r>
      <w:r w:rsidR="00FF726C">
        <w:t xml:space="preserve"> new cell coverage appears immediately</w:t>
      </w:r>
      <w:r w:rsidR="0001469F">
        <w:t xml:space="preserve"> after </w:t>
      </w:r>
      <w:proofErr w:type="gramStart"/>
      <w:r w:rsidR="0001469F">
        <w:t>switch</w:t>
      </w:r>
      <w:proofErr w:type="gramEnd"/>
      <w:r w:rsidR="0001469F">
        <w:t xml:space="preserve"> off</w:t>
      </w:r>
      <w:r w:rsidR="00FF726C">
        <w:t>,</w:t>
      </w:r>
      <w:r w:rsidR="006A7EE3">
        <w:t xml:space="preserve"> RLF could be avoided but that would require </w:t>
      </w:r>
      <w:r w:rsidR="001811C3">
        <w:t>extensive network</w:t>
      </w:r>
      <w:r w:rsidR="006A7EE3">
        <w:t xml:space="preserve"> synchronization</w:t>
      </w:r>
      <w:r w:rsidR="008C0AF1">
        <w:t>/coordination</w:t>
      </w:r>
      <w:r w:rsidR="006A7EE3">
        <w:t>.</w:t>
      </w:r>
      <w:r w:rsidR="00CC2000">
        <w:t xml:space="preserve"> Timers and counters of this mechanism could be extended to avoid </w:t>
      </w:r>
      <w:r w:rsidR="00DD55C2">
        <w:t>RLF declaration during cell switching but that could impact the</w:t>
      </w:r>
      <w:r w:rsidR="00EF70FE">
        <w:t xml:space="preserve"> </w:t>
      </w:r>
      <w:r w:rsidR="00DD55C2">
        <w:t>mobility performance</w:t>
      </w:r>
      <w:r w:rsidR="00EF70FE">
        <w:t xml:space="preserve"> </w:t>
      </w:r>
      <w:r w:rsidR="0084033C">
        <w:t xml:space="preserve">of </w:t>
      </w:r>
      <w:r w:rsidR="00EF70FE">
        <w:t>those UEs under poor radio conditions</w:t>
      </w:r>
      <w:r w:rsidR="00DD55C2">
        <w:t>.</w:t>
      </w:r>
      <w:r w:rsidR="00187D3D">
        <w:t xml:space="preserve"> Furthermore, </w:t>
      </w:r>
      <w:r w:rsidR="009428FD">
        <w:t>the proposal might impact backwards compatibility with</w:t>
      </w:r>
      <w:r w:rsidR="00187D3D">
        <w:t xml:space="preserve"> Rel-17 UE</w:t>
      </w:r>
      <w:r w:rsidR="00723521">
        <w:t>, i.e</w:t>
      </w:r>
      <w:r w:rsidR="00896D61">
        <w:t xml:space="preserve">., </w:t>
      </w:r>
      <w:r w:rsidR="009B31B2">
        <w:t>it is unclear how these UE</w:t>
      </w:r>
      <w:r w:rsidR="00B71365">
        <w:t>s</w:t>
      </w:r>
      <w:r w:rsidR="00187D3D">
        <w:t xml:space="preserve"> would behave</w:t>
      </w:r>
      <w:r w:rsidR="00B71365">
        <w:t xml:space="preserve"> and </w:t>
      </w:r>
      <w:proofErr w:type="gramStart"/>
      <w:r w:rsidR="00B71365">
        <w:t>e.g.</w:t>
      </w:r>
      <w:proofErr w:type="gramEnd"/>
      <w:r w:rsidR="00B71365">
        <w:t xml:space="preserve"> will they have other values of the timers/counters, etc</w:t>
      </w:r>
      <w:r w:rsidR="009428FD">
        <w:t>.</w:t>
      </w:r>
    </w:p>
    <w:p w14:paraId="4FD700FC" w14:textId="496A0DFE" w:rsidR="00573A98" w:rsidRPr="00284344" w:rsidRDefault="00EC3757" w:rsidP="00284344">
      <w:pPr>
        <w:jc w:val="both"/>
        <w:rPr>
          <w:b/>
          <w:bCs/>
        </w:rPr>
      </w:pPr>
      <w:r w:rsidRPr="00284344">
        <w:rPr>
          <w:b/>
          <w:bCs/>
        </w:rPr>
        <w:t xml:space="preserve">Observation </w:t>
      </w:r>
      <w:r w:rsidR="00B71365">
        <w:rPr>
          <w:b/>
          <w:bCs/>
        </w:rPr>
        <w:t>6</w:t>
      </w:r>
      <w:r w:rsidRPr="00284344">
        <w:rPr>
          <w:b/>
          <w:bCs/>
        </w:rPr>
        <w:t xml:space="preserve">: </w:t>
      </w:r>
      <w:r w:rsidR="00E552CF" w:rsidRPr="00E552CF">
        <w:rPr>
          <w:b/>
          <w:bCs/>
        </w:rPr>
        <w:t xml:space="preserve">There </w:t>
      </w:r>
      <w:r w:rsidR="00741F54">
        <w:rPr>
          <w:b/>
          <w:bCs/>
        </w:rPr>
        <w:t>are</w:t>
      </w:r>
      <w:r w:rsidR="00E552CF" w:rsidRPr="00E552CF">
        <w:rPr>
          <w:b/>
          <w:bCs/>
        </w:rPr>
        <w:t xml:space="preserve"> </w:t>
      </w:r>
      <w:r w:rsidR="00741F54" w:rsidRPr="00E552CF">
        <w:rPr>
          <w:b/>
          <w:bCs/>
        </w:rPr>
        <w:t>several</w:t>
      </w:r>
      <w:r w:rsidR="00E20856">
        <w:rPr>
          <w:b/>
          <w:bCs/>
        </w:rPr>
        <w:t xml:space="preserve"> specification</w:t>
      </w:r>
      <w:r w:rsidR="00E552CF" w:rsidRPr="00E552CF">
        <w:rPr>
          <w:b/>
          <w:bCs/>
        </w:rPr>
        <w:t xml:space="preserve"> issues to resolve for reusing PCI after satellite switches</w:t>
      </w:r>
      <w:r w:rsidR="0005672D">
        <w:rPr>
          <w:b/>
          <w:bCs/>
        </w:rPr>
        <w:t>, e.g., UL/DL synchronization</w:t>
      </w:r>
      <w:r w:rsidR="0084033C">
        <w:rPr>
          <w:b/>
          <w:bCs/>
        </w:rPr>
        <w:t>,</w:t>
      </w:r>
      <w:r w:rsidR="0005672D">
        <w:rPr>
          <w:b/>
          <w:bCs/>
        </w:rPr>
        <w:t xml:space="preserve"> inter-cell resource coordination,</w:t>
      </w:r>
      <w:r w:rsidR="004025D2">
        <w:rPr>
          <w:b/>
          <w:bCs/>
        </w:rPr>
        <w:t xml:space="preserve"> </w:t>
      </w:r>
      <w:r w:rsidR="00741F54">
        <w:rPr>
          <w:b/>
          <w:bCs/>
        </w:rPr>
        <w:t>RACH</w:t>
      </w:r>
      <w:r w:rsidR="00542CAD">
        <w:rPr>
          <w:b/>
          <w:bCs/>
        </w:rPr>
        <w:t>,</w:t>
      </w:r>
      <w:r w:rsidR="009B31B2">
        <w:rPr>
          <w:b/>
          <w:bCs/>
        </w:rPr>
        <w:t xml:space="preserve"> </w:t>
      </w:r>
      <w:r w:rsidR="0084033C">
        <w:rPr>
          <w:b/>
          <w:bCs/>
        </w:rPr>
        <w:t xml:space="preserve">RLF avoidance, </w:t>
      </w:r>
      <w:r w:rsidR="0019727C">
        <w:rPr>
          <w:b/>
          <w:bCs/>
        </w:rPr>
        <w:t>backwards compatibility with Rel-17 UE</w:t>
      </w:r>
      <w:r w:rsidR="00E552CF" w:rsidRPr="00E552CF">
        <w:rPr>
          <w:b/>
          <w:bCs/>
        </w:rPr>
        <w:t>.</w:t>
      </w:r>
    </w:p>
    <w:p w14:paraId="087D4D00" w14:textId="6E185F81" w:rsidR="00795F11" w:rsidRPr="00284344" w:rsidRDefault="00BD0713" w:rsidP="00284344">
      <w:pPr>
        <w:jc w:val="both"/>
      </w:pPr>
      <w:r>
        <w:t>As stated above, t</w:t>
      </w:r>
      <w:r w:rsidR="00795F11" w:rsidRPr="00284344">
        <w:t xml:space="preserve">here </w:t>
      </w:r>
      <w:r w:rsidR="00295B97">
        <w:t>are</w:t>
      </w:r>
      <w:r w:rsidR="00795F11" w:rsidRPr="00284344">
        <w:t xml:space="preserve"> </w:t>
      </w:r>
      <w:r w:rsidR="00295B97" w:rsidRPr="00295B97">
        <w:t>several</w:t>
      </w:r>
      <w:r w:rsidR="00795F11" w:rsidRPr="00284344">
        <w:t xml:space="preserve"> issues to resolve for reusing PCI after satellite switches</w:t>
      </w:r>
      <w:r w:rsidR="00295B97">
        <w:t xml:space="preserve"> and their</w:t>
      </w:r>
      <w:r w:rsidR="00795F11" w:rsidRPr="00284344">
        <w:t xml:space="preserve"> specification complexity seems to be non-negligible. Thus, we suggest the following:</w:t>
      </w:r>
    </w:p>
    <w:p w14:paraId="5905BDE3" w14:textId="110684E0" w:rsidR="00573A98" w:rsidRDefault="0091014B" w:rsidP="00DB0D1D">
      <w:pPr>
        <w:jc w:val="both"/>
        <w:rPr>
          <w:b/>
          <w:bCs/>
        </w:rPr>
      </w:pPr>
      <w:r w:rsidRPr="00284344">
        <w:rPr>
          <w:b/>
          <w:bCs/>
        </w:rPr>
        <w:t xml:space="preserve">Proposal </w:t>
      </w:r>
      <w:r w:rsidR="00295B97">
        <w:rPr>
          <w:b/>
          <w:bCs/>
        </w:rPr>
        <w:t>9</w:t>
      </w:r>
      <w:r w:rsidRPr="00284344">
        <w:rPr>
          <w:b/>
          <w:bCs/>
        </w:rPr>
        <w:t xml:space="preserve">: </w:t>
      </w:r>
      <w:r w:rsidR="00295B97">
        <w:rPr>
          <w:b/>
          <w:bCs/>
        </w:rPr>
        <w:t>B</w:t>
      </w:r>
      <w:r w:rsidR="00CC161A">
        <w:rPr>
          <w:b/>
          <w:bCs/>
        </w:rPr>
        <w:t>efore agreeing to support</w:t>
      </w:r>
      <w:r w:rsidR="00B55F2B">
        <w:rPr>
          <w:b/>
          <w:bCs/>
        </w:rPr>
        <w:t xml:space="preserve"> unchanged PCI solution, RAN2 should clarify </w:t>
      </w:r>
      <w:r w:rsidR="00295B97">
        <w:rPr>
          <w:b/>
          <w:bCs/>
        </w:rPr>
        <w:t>how to address the following issues:</w:t>
      </w:r>
      <w:r w:rsidR="005E31A1">
        <w:rPr>
          <w:b/>
          <w:bCs/>
        </w:rPr>
        <w:t xml:space="preserve"> </w:t>
      </w:r>
      <w:r w:rsidR="00295B97">
        <w:rPr>
          <w:b/>
          <w:bCs/>
        </w:rPr>
        <w:t xml:space="preserve">need for </w:t>
      </w:r>
      <w:r w:rsidR="00B55F2B">
        <w:rPr>
          <w:b/>
          <w:bCs/>
        </w:rPr>
        <w:t xml:space="preserve">RACH </w:t>
      </w:r>
      <w:r w:rsidR="005E31A1">
        <w:rPr>
          <w:b/>
          <w:bCs/>
        </w:rPr>
        <w:t>and RLF management,</w:t>
      </w:r>
      <w:r w:rsidR="00B55F2B">
        <w:rPr>
          <w:b/>
          <w:bCs/>
        </w:rPr>
        <w:t xml:space="preserve"> UL/DL synchronization, </w:t>
      </w:r>
      <w:r w:rsidR="005E31A1">
        <w:rPr>
          <w:b/>
          <w:bCs/>
        </w:rPr>
        <w:t>inter-cell resource coordination, and backwards compatibility with Rel-17 UE.</w:t>
      </w:r>
    </w:p>
    <w:p w14:paraId="69B7B8E6" w14:textId="69E07FC9" w:rsidR="009339CB" w:rsidRDefault="005A13AB" w:rsidP="009339CB">
      <w:pPr>
        <w:pStyle w:val="Heading1"/>
      </w:pPr>
      <w:r>
        <w:t>3</w:t>
      </w:r>
      <w:r w:rsidR="009339CB" w:rsidRPr="006E13D1">
        <w:tab/>
      </w:r>
      <w:r w:rsidR="009339CB">
        <w:t>Conclusion</w:t>
      </w:r>
    </w:p>
    <w:p w14:paraId="6E24B0F4" w14:textId="76757F57" w:rsidR="009339CB" w:rsidRDefault="009339CB" w:rsidP="009339CB">
      <w:r>
        <w:t xml:space="preserve">This document has made the following </w:t>
      </w:r>
      <w:r w:rsidR="00E647B7">
        <w:t xml:space="preserve">proposals and </w:t>
      </w:r>
      <w:r>
        <w:t>observations:</w:t>
      </w:r>
    </w:p>
    <w:p w14:paraId="42313917" w14:textId="77777777" w:rsidR="0090646A" w:rsidRDefault="0090646A" w:rsidP="0090646A">
      <w:pPr>
        <w:jc w:val="both"/>
        <w:rPr>
          <w:b/>
          <w:bCs/>
        </w:rPr>
      </w:pPr>
      <w:r w:rsidRPr="00F366BD">
        <w:rPr>
          <w:b/>
          <w:bCs/>
        </w:rPr>
        <w:t xml:space="preserve">Proposal </w:t>
      </w:r>
      <w:r>
        <w:rPr>
          <w:b/>
          <w:bCs/>
        </w:rPr>
        <w:t>1</w:t>
      </w:r>
      <w:r w:rsidRPr="00F366BD">
        <w:rPr>
          <w:b/>
          <w:bCs/>
        </w:rPr>
        <w:t>: Group HO or HO command pre-configuration is not pursued as a part of Rel-18 NTN enhancements unless clear gains are shown.</w:t>
      </w:r>
    </w:p>
    <w:p w14:paraId="2EF3DF7F" w14:textId="63364974" w:rsidR="0090646A" w:rsidRDefault="0090646A" w:rsidP="009339CB">
      <w:pPr>
        <w:rPr>
          <w:b/>
          <w:bCs/>
          <w:lang w:val="en-US"/>
        </w:rPr>
      </w:pPr>
      <w:r w:rsidRPr="00CD603F">
        <w:rPr>
          <w:b/>
          <w:bCs/>
          <w:lang w:val="en-US"/>
        </w:rPr>
        <w:t xml:space="preserve">Proposal 2: Before deciding to support common HO parameters </w:t>
      </w:r>
      <w:proofErr w:type="spellStart"/>
      <w:r w:rsidRPr="00CD603F">
        <w:rPr>
          <w:b/>
          <w:bCs/>
          <w:lang w:val="en-US"/>
        </w:rPr>
        <w:t>signalling</w:t>
      </w:r>
      <w:proofErr w:type="spellEnd"/>
      <w:r w:rsidRPr="00CD603F">
        <w:rPr>
          <w:b/>
          <w:bCs/>
          <w:lang w:val="en-US"/>
        </w:rPr>
        <w:t xml:space="preserve">, RAN2 discusses if it is practical to broadcast in a large NTN cell </w:t>
      </w:r>
      <w:proofErr w:type="gramStart"/>
      <w:r w:rsidRPr="00CD603F">
        <w:rPr>
          <w:b/>
          <w:bCs/>
          <w:lang w:val="en-US"/>
        </w:rPr>
        <w:t>e.g.</w:t>
      </w:r>
      <w:proofErr w:type="gramEnd"/>
      <w:r w:rsidRPr="00CD603F" w:rsidDel="00874AB4">
        <w:rPr>
          <w:b/>
          <w:bCs/>
          <w:lang w:val="en-US"/>
        </w:rPr>
        <w:t xml:space="preserve"> </w:t>
      </w:r>
      <w:proofErr w:type="spellStart"/>
      <w:r w:rsidRPr="00CD603F">
        <w:rPr>
          <w:b/>
          <w:bCs/>
          <w:i/>
          <w:iCs/>
          <w:lang w:val="en-US"/>
        </w:rPr>
        <w:t>ServingCellConfigCommon</w:t>
      </w:r>
      <w:proofErr w:type="spellEnd"/>
      <w:r w:rsidRPr="00CD603F">
        <w:rPr>
          <w:b/>
          <w:bCs/>
          <w:lang w:val="en-US"/>
        </w:rPr>
        <w:t xml:space="preserve"> IE for up to eight </w:t>
      </w:r>
      <w:proofErr w:type="spellStart"/>
      <w:r w:rsidRPr="00CD603F">
        <w:rPr>
          <w:b/>
          <w:bCs/>
          <w:lang w:val="en-US"/>
        </w:rPr>
        <w:t>neighbour</w:t>
      </w:r>
      <w:proofErr w:type="spellEnd"/>
      <w:r w:rsidRPr="00CD603F">
        <w:rPr>
          <w:b/>
          <w:bCs/>
          <w:lang w:val="en-US"/>
        </w:rPr>
        <w:t xml:space="preserve"> cells.</w:t>
      </w:r>
    </w:p>
    <w:p w14:paraId="1A71BEF4" w14:textId="614D6A8A" w:rsidR="0090646A" w:rsidRDefault="0090646A" w:rsidP="009339CB">
      <w:pPr>
        <w:rPr>
          <w:b/>
          <w:bCs/>
        </w:rPr>
      </w:pPr>
      <w:r w:rsidRPr="00CD603F">
        <w:rPr>
          <w:b/>
          <w:bCs/>
        </w:rPr>
        <w:t xml:space="preserve">Proposal </w:t>
      </w:r>
      <w:r>
        <w:rPr>
          <w:b/>
          <w:bCs/>
        </w:rPr>
        <w:t>3</w:t>
      </w:r>
      <w:r w:rsidRPr="00CD603F">
        <w:rPr>
          <w:b/>
          <w:bCs/>
        </w:rPr>
        <w:t xml:space="preserve">: RAN2 to adopt chain of CHOs to reduce signalling </w:t>
      </w:r>
      <w:r w:rsidRPr="2C57998E">
        <w:rPr>
          <w:b/>
          <w:bCs/>
        </w:rPr>
        <w:t xml:space="preserve">load </w:t>
      </w:r>
      <w:r w:rsidRPr="00CD603F">
        <w:rPr>
          <w:b/>
          <w:bCs/>
        </w:rPr>
        <w:t>related to future target cells preparation</w:t>
      </w:r>
      <w:r>
        <w:rPr>
          <w:b/>
          <w:bCs/>
        </w:rPr>
        <w:t>s</w:t>
      </w:r>
      <w:r w:rsidRPr="00CD603F">
        <w:rPr>
          <w:b/>
          <w:bCs/>
        </w:rPr>
        <w:t>.</w:t>
      </w:r>
    </w:p>
    <w:p w14:paraId="42455DBA" w14:textId="77777777" w:rsidR="0090646A" w:rsidRPr="00CD603F" w:rsidRDefault="0090646A" w:rsidP="0090646A">
      <w:pPr>
        <w:jc w:val="both"/>
        <w:rPr>
          <w:b/>
        </w:rPr>
      </w:pPr>
      <w:r w:rsidRPr="00CD603F">
        <w:rPr>
          <w:b/>
        </w:rPr>
        <w:t xml:space="preserve">Observation </w:t>
      </w:r>
      <w:r>
        <w:rPr>
          <w:b/>
          <w:bCs/>
        </w:rPr>
        <w:t>1</w:t>
      </w:r>
      <w:r w:rsidRPr="00CD603F">
        <w:rPr>
          <w:b/>
        </w:rPr>
        <w:t>: As the cells in EMC move, cells’ reference location is continuously changing and reference location</w:t>
      </w:r>
      <w:r>
        <w:rPr>
          <w:b/>
        </w:rPr>
        <w:t xml:space="preserve"> </w:t>
      </w:r>
      <w:r w:rsidRPr="00CD603F">
        <w:rPr>
          <w:b/>
        </w:rPr>
        <w:t>in system information might become outdated unless the network signals this information very frequently.</w:t>
      </w:r>
    </w:p>
    <w:p w14:paraId="373DFEAA" w14:textId="77777777" w:rsidR="0090646A" w:rsidRPr="00B43354" w:rsidRDefault="0090646A" w:rsidP="0090646A">
      <w:pPr>
        <w:jc w:val="both"/>
        <w:rPr>
          <w:b/>
          <w:bCs/>
        </w:rPr>
      </w:pPr>
      <w:r>
        <w:rPr>
          <w:b/>
          <w:bCs/>
        </w:rPr>
        <w:t>Proposal</w:t>
      </w:r>
      <w:r w:rsidRPr="00CD603F">
        <w:rPr>
          <w:b/>
          <w:bCs/>
        </w:rPr>
        <w:t xml:space="preserve"> </w:t>
      </w:r>
      <w:r>
        <w:rPr>
          <w:b/>
          <w:bCs/>
        </w:rPr>
        <w:t>4</w:t>
      </w:r>
      <w:r w:rsidRPr="00CD603F">
        <w:rPr>
          <w:b/>
          <w:bCs/>
        </w:rPr>
        <w:t>: UE</w:t>
      </w:r>
      <w:r>
        <w:rPr>
          <w:b/>
          <w:bCs/>
        </w:rPr>
        <w:t xml:space="preserve"> is expected to avoid frequent acquisitions of serving cell/target cell’s reference location </w:t>
      </w:r>
      <w:r w:rsidRPr="2C57998E">
        <w:rPr>
          <w:b/>
          <w:bCs/>
        </w:rPr>
        <w:t>because</w:t>
      </w:r>
      <w:r>
        <w:rPr>
          <w:b/>
          <w:bCs/>
        </w:rPr>
        <w:t xml:space="preserve"> it </w:t>
      </w:r>
      <w:r w:rsidRPr="2C57998E">
        <w:rPr>
          <w:b/>
          <w:bCs/>
        </w:rPr>
        <w:t>propagate</w:t>
      </w:r>
      <w:r>
        <w:rPr>
          <w:b/>
          <w:bCs/>
        </w:rPr>
        <w:t>s</w:t>
      </w:r>
      <w:r w:rsidRPr="2C57998E">
        <w:rPr>
          <w:b/>
          <w:bCs/>
        </w:rPr>
        <w:t xml:space="preserve"> the cells</w:t>
      </w:r>
      <w:r>
        <w:rPr>
          <w:b/>
          <w:bCs/>
        </w:rPr>
        <w:t xml:space="preserve"> movement over time based on satellite information (</w:t>
      </w:r>
      <w:proofErr w:type="gramStart"/>
      <w:r>
        <w:rPr>
          <w:b/>
          <w:bCs/>
        </w:rPr>
        <w:t>e.g.</w:t>
      </w:r>
      <w:proofErr w:type="gramEnd"/>
      <w:r>
        <w:rPr>
          <w:b/>
          <w:bCs/>
        </w:rPr>
        <w:t xml:space="preserve"> ephemeris)</w:t>
      </w:r>
      <w:r w:rsidRPr="00CD603F">
        <w:rPr>
          <w:b/>
          <w:bCs/>
        </w:rPr>
        <w:t>.</w:t>
      </w:r>
    </w:p>
    <w:p w14:paraId="6AB92B55" w14:textId="77777777" w:rsidR="0090646A" w:rsidRDefault="0090646A" w:rsidP="0090646A">
      <w:pPr>
        <w:jc w:val="both"/>
        <w:rPr>
          <w:b/>
          <w:bCs/>
        </w:rPr>
      </w:pPr>
      <w:r>
        <w:rPr>
          <w:b/>
          <w:bCs/>
        </w:rPr>
        <w:t>Observation</w:t>
      </w:r>
      <w:r w:rsidRPr="002D32F8">
        <w:rPr>
          <w:b/>
          <w:bCs/>
        </w:rPr>
        <w:t xml:space="preserve"> </w:t>
      </w:r>
      <w:r>
        <w:rPr>
          <w:b/>
          <w:bCs/>
        </w:rPr>
        <w:t>2</w:t>
      </w:r>
      <w:r w:rsidRPr="002D32F8">
        <w:rPr>
          <w:b/>
          <w:bCs/>
        </w:rPr>
        <w:t xml:space="preserve">: </w:t>
      </w:r>
      <w:r>
        <w:rPr>
          <w:b/>
          <w:bCs/>
        </w:rPr>
        <w:t>T</w:t>
      </w:r>
      <w:r w:rsidRPr="002D32F8">
        <w:rPr>
          <w:b/>
          <w:bCs/>
        </w:rPr>
        <w:t>he UE</w:t>
      </w:r>
      <w:r>
        <w:rPr>
          <w:b/>
          <w:bCs/>
        </w:rPr>
        <w:t xml:space="preserve"> knows how cells reference location propagates over time based on system information.</w:t>
      </w:r>
    </w:p>
    <w:p w14:paraId="7C9A41B8" w14:textId="77777777" w:rsidR="0090646A" w:rsidRDefault="0090646A" w:rsidP="0090646A">
      <w:pPr>
        <w:jc w:val="both"/>
        <w:rPr>
          <w:b/>
        </w:rPr>
      </w:pPr>
      <w:r>
        <w:rPr>
          <w:b/>
          <w:bCs/>
        </w:rPr>
        <w:t>Observation 3: UE may check if t-Service is present in SIB19 to tell if the cell is of EFC or EMC type.</w:t>
      </w:r>
    </w:p>
    <w:p w14:paraId="2002EDEE" w14:textId="77777777" w:rsidR="0090646A" w:rsidRPr="00CD603F" w:rsidRDefault="0090646A" w:rsidP="0090646A">
      <w:pPr>
        <w:rPr>
          <w:b/>
        </w:rPr>
      </w:pPr>
      <w:r w:rsidRPr="00CD603F">
        <w:rPr>
          <w:b/>
          <w:bCs/>
        </w:rPr>
        <w:t xml:space="preserve">Proposal </w:t>
      </w:r>
      <w:r>
        <w:rPr>
          <w:b/>
          <w:bCs/>
        </w:rPr>
        <w:t>5</w:t>
      </w:r>
      <w:r w:rsidRPr="00CD603F">
        <w:rPr>
          <w:b/>
          <w:bCs/>
        </w:rPr>
        <w:t xml:space="preserve">: RAN2 to discuss the scope of RACH-less in Rel-18. </w:t>
      </w:r>
      <w:r>
        <w:rPr>
          <w:b/>
          <w:bCs/>
        </w:rPr>
        <w:t>In particular, c</w:t>
      </w:r>
      <w:r w:rsidRPr="00CD603F">
        <w:rPr>
          <w:b/>
          <w:bCs/>
        </w:rPr>
        <w:t>an</w:t>
      </w:r>
      <w:r>
        <w:rPr>
          <w:b/>
          <w:bCs/>
        </w:rPr>
        <w:t xml:space="preserve"> it be</w:t>
      </w:r>
      <w:r w:rsidRPr="00CD603F">
        <w:rPr>
          <w:b/>
          <w:bCs/>
        </w:rPr>
        <w:t xml:space="preserve"> combined with CHO for NTN?</w:t>
      </w:r>
    </w:p>
    <w:p w14:paraId="6A6F442A" w14:textId="77777777" w:rsidR="0090646A" w:rsidRDefault="0090646A" w:rsidP="0090646A">
      <w:pPr>
        <w:jc w:val="both"/>
        <w:rPr>
          <w:b/>
          <w:bCs/>
        </w:rPr>
      </w:pPr>
      <w:r w:rsidRPr="00CD603F">
        <w:rPr>
          <w:b/>
          <w:bCs/>
        </w:rPr>
        <w:t xml:space="preserve">Proposal </w:t>
      </w:r>
      <w:r>
        <w:rPr>
          <w:b/>
          <w:bCs/>
        </w:rPr>
        <w:t>6</w:t>
      </w:r>
      <w:r w:rsidRPr="00CD603F">
        <w:rPr>
          <w:b/>
          <w:bCs/>
        </w:rPr>
        <w:t xml:space="preserve">: </w:t>
      </w:r>
      <w:r w:rsidRPr="00457A05">
        <w:rPr>
          <w:b/>
          <w:bCs/>
        </w:rPr>
        <w:t>For intra-satellite and intra-gateway scenario</w:t>
      </w:r>
      <w:r>
        <w:rPr>
          <w:b/>
          <w:bCs/>
        </w:rPr>
        <w:t>s, the UE can determine (</w:t>
      </w:r>
      <w:proofErr w:type="gramStart"/>
      <w:r>
        <w:rPr>
          <w:b/>
          <w:bCs/>
        </w:rPr>
        <w:t>e.g.</w:t>
      </w:r>
      <w:proofErr w:type="gramEnd"/>
      <w:r>
        <w:rPr>
          <w:b/>
          <w:bCs/>
        </w:rPr>
        <w:t xml:space="preserve"> using ephemeris) that handover is executed within the same satellite and gateway conditions and </w:t>
      </w:r>
      <w:r w:rsidRPr="00CD603F">
        <w:rPr>
          <w:b/>
          <w:bCs/>
        </w:rPr>
        <w:t>reuse</w:t>
      </w:r>
      <w:r>
        <w:rPr>
          <w:b/>
          <w:bCs/>
        </w:rPr>
        <w:t>s the</w:t>
      </w:r>
      <w:r w:rsidRPr="00CD603F">
        <w:rPr>
          <w:b/>
          <w:bCs/>
        </w:rPr>
        <w:t xml:space="preserve"> TA value.  </w:t>
      </w:r>
    </w:p>
    <w:p w14:paraId="68E6E5E9" w14:textId="77777777" w:rsidR="0090646A" w:rsidRPr="00CD603F" w:rsidRDefault="0090646A" w:rsidP="0090646A">
      <w:pPr>
        <w:jc w:val="both"/>
        <w:rPr>
          <w:b/>
          <w:bCs/>
        </w:rPr>
      </w:pPr>
      <w:r w:rsidRPr="00CD603F">
        <w:rPr>
          <w:b/>
          <w:bCs/>
        </w:rPr>
        <w:t xml:space="preserve">Proposal </w:t>
      </w:r>
      <w:r>
        <w:rPr>
          <w:b/>
          <w:bCs/>
        </w:rPr>
        <w:t>7</w:t>
      </w:r>
      <w:r w:rsidRPr="00CD603F">
        <w:rPr>
          <w:b/>
          <w:bCs/>
        </w:rPr>
        <w:t>: For other scenarios</w:t>
      </w:r>
      <w:r>
        <w:rPr>
          <w:b/>
          <w:bCs/>
        </w:rPr>
        <w:t xml:space="preserve"> than intra-satellite with the same FL</w:t>
      </w:r>
      <w:r w:rsidRPr="00CD603F">
        <w:rPr>
          <w:b/>
          <w:bCs/>
        </w:rPr>
        <w:t>, the UE cannot infer the new TA value and explicit network indication</w:t>
      </w:r>
      <w:r>
        <w:rPr>
          <w:b/>
          <w:bCs/>
        </w:rPr>
        <w:t xml:space="preserve"> is needed</w:t>
      </w:r>
      <w:r w:rsidRPr="00CD603F">
        <w:rPr>
          <w:b/>
          <w:bCs/>
        </w:rPr>
        <w:t xml:space="preserve">.  </w:t>
      </w:r>
    </w:p>
    <w:p w14:paraId="4CA82100" w14:textId="77777777" w:rsidR="0090646A" w:rsidRDefault="0090646A" w:rsidP="0090646A">
      <w:pPr>
        <w:jc w:val="both"/>
        <w:rPr>
          <w:b/>
          <w:bCs/>
        </w:rPr>
      </w:pPr>
      <w:r>
        <w:rPr>
          <w:b/>
          <w:bCs/>
        </w:rPr>
        <w:t>Observation 4: RACH-less handover is a L3 mobility procedure while the unchanged PCI is supposed to be a lower layer procedure.</w:t>
      </w:r>
    </w:p>
    <w:p w14:paraId="6906D291" w14:textId="77777777" w:rsidR="0090646A" w:rsidRPr="00CD603F" w:rsidRDefault="0090646A" w:rsidP="0090646A">
      <w:pPr>
        <w:jc w:val="both"/>
        <w:rPr>
          <w:b/>
          <w:bCs/>
        </w:rPr>
      </w:pPr>
      <w:r w:rsidRPr="00CD603F">
        <w:rPr>
          <w:b/>
          <w:bCs/>
        </w:rPr>
        <w:t xml:space="preserve">Proposal </w:t>
      </w:r>
      <w:r>
        <w:rPr>
          <w:b/>
          <w:bCs/>
        </w:rPr>
        <w:t>8</w:t>
      </w:r>
      <w:r w:rsidRPr="00CD603F">
        <w:rPr>
          <w:b/>
          <w:bCs/>
        </w:rPr>
        <w:t xml:space="preserve">: RAN2 to </w:t>
      </w:r>
      <w:r>
        <w:rPr>
          <w:b/>
          <w:bCs/>
        </w:rPr>
        <w:t>clarify whether and how</w:t>
      </w:r>
      <w:r w:rsidRPr="00CD603F">
        <w:rPr>
          <w:b/>
          <w:bCs/>
        </w:rPr>
        <w:t xml:space="preserve"> RACH-less handover </w:t>
      </w:r>
      <w:r>
        <w:rPr>
          <w:b/>
          <w:bCs/>
        </w:rPr>
        <w:t xml:space="preserve">can be </w:t>
      </w:r>
      <w:r w:rsidRPr="00CD603F">
        <w:rPr>
          <w:b/>
          <w:bCs/>
        </w:rPr>
        <w:t>combined with unchanged PCI approach</w:t>
      </w:r>
      <w:r>
        <w:rPr>
          <w:b/>
          <w:bCs/>
        </w:rPr>
        <w:t>.</w:t>
      </w:r>
    </w:p>
    <w:p w14:paraId="50E4AC1F" w14:textId="2F65F88B" w:rsidR="0090646A" w:rsidRDefault="0090646A" w:rsidP="009339CB">
      <w:pPr>
        <w:rPr>
          <w:b/>
        </w:rPr>
      </w:pPr>
      <w:r w:rsidRPr="00CD603F">
        <w:rPr>
          <w:b/>
        </w:rPr>
        <w:t xml:space="preserve">Observation </w:t>
      </w:r>
      <w:r>
        <w:rPr>
          <w:b/>
          <w:bCs/>
        </w:rPr>
        <w:t>5</w:t>
      </w:r>
      <w:r w:rsidRPr="00CD603F">
        <w:rPr>
          <w:b/>
        </w:rPr>
        <w:t>: During the satellite switching, the timing and Doppler values unavoidably change.</w:t>
      </w:r>
    </w:p>
    <w:p w14:paraId="46ABA1B1" w14:textId="77777777" w:rsidR="0090646A" w:rsidRPr="00CD603F" w:rsidRDefault="0090646A" w:rsidP="0090646A">
      <w:pPr>
        <w:jc w:val="both"/>
        <w:rPr>
          <w:b/>
          <w:bCs/>
        </w:rPr>
      </w:pPr>
      <w:r w:rsidRPr="00CD603F">
        <w:rPr>
          <w:b/>
          <w:bCs/>
        </w:rPr>
        <w:t xml:space="preserve">Observation </w:t>
      </w:r>
      <w:r>
        <w:rPr>
          <w:b/>
          <w:bCs/>
        </w:rPr>
        <w:t>6</w:t>
      </w:r>
      <w:r w:rsidRPr="00CD603F">
        <w:rPr>
          <w:b/>
          <w:bCs/>
        </w:rPr>
        <w:t xml:space="preserve">: </w:t>
      </w:r>
      <w:r w:rsidRPr="00E552CF">
        <w:rPr>
          <w:b/>
          <w:bCs/>
        </w:rPr>
        <w:t xml:space="preserve">There </w:t>
      </w:r>
      <w:r>
        <w:rPr>
          <w:b/>
          <w:bCs/>
        </w:rPr>
        <w:t>are</w:t>
      </w:r>
      <w:r w:rsidRPr="00E552CF">
        <w:rPr>
          <w:b/>
          <w:bCs/>
        </w:rPr>
        <w:t xml:space="preserve"> several</w:t>
      </w:r>
      <w:r>
        <w:rPr>
          <w:b/>
          <w:bCs/>
        </w:rPr>
        <w:t xml:space="preserve"> specification</w:t>
      </w:r>
      <w:r w:rsidRPr="00E552CF">
        <w:rPr>
          <w:b/>
          <w:bCs/>
        </w:rPr>
        <w:t xml:space="preserve"> issues to resolve for reusing PCI after satellite switches</w:t>
      </w:r>
      <w:r>
        <w:rPr>
          <w:b/>
          <w:bCs/>
        </w:rPr>
        <w:t>, e.g., UL/DL synchronization, inter-cell resource coordination, RACH, RLF avoidance, backwards compatibility with Rel-17 UE</w:t>
      </w:r>
      <w:r w:rsidRPr="00E552CF">
        <w:rPr>
          <w:b/>
          <w:bCs/>
        </w:rPr>
        <w:t>.</w:t>
      </w:r>
    </w:p>
    <w:p w14:paraId="06295193" w14:textId="5C002509" w:rsidR="0090646A" w:rsidRPr="00284344" w:rsidRDefault="0090646A" w:rsidP="00284344">
      <w:pPr>
        <w:jc w:val="both"/>
        <w:rPr>
          <w:b/>
          <w:bCs/>
        </w:rPr>
      </w:pPr>
      <w:r w:rsidRPr="00CD603F">
        <w:rPr>
          <w:b/>
          <w:bCs/>
        </w:rPr>
        <w:t xml:space="preserve">Proposal </w:t>
      </w:r>
      <w:r>
        <w:rPr>
          <w:b/>
          <w:bCs/>
        </w:rPr>
        <w:t>9</w:t>
      </w:r>
      <w:r w:rsidRPr="00CD603F">
        <w:rPr>
          <w:b/>
          <w:bCs/>
        </w:rPr>
        <w:t xml:space="preserve">: </w:t>
      </w:r>
      <w:r>
        <w:rPr>
          <w:b/>
          <w:bCs/>
        </w:rPr>
        <w:t>Before agreeing to support unchanged PCI solution, RAN2 should clarify how to address the following issues: need for RACH and RLF management, UL/DL synchronization, inter-cell resource coordination, and backwards compatibility with Rel-17 UE.</w:t>
      </w:r>
    </w:p>
    <w:p w14:paraId="10B0CFC3" w14:textId="77777777" w:rsidR="00407688" w:rsidRPr="007438C6" w:rsidRDefault="00407688" w:rsidP="00407688">
      <w:pPr>
        <w:pStyle w:val="Heading1"/>
        <w:jc w:val="both"/>
      </w:pPr>
      <w:r w:rsidRPr="007438C6">
        <w:t>References</w:t>
      </w:r>
    </w:p>
    <w:p w14:paraId="59D3F28B" w14:textId="54566EE7" w:rsidR="00F1124B" w:rsidRDefault="00407688" w:rsidP="00F1124B">
      <w:pPr>
        <w:pStyle w:val="ListParagraph"/>
        <w:numPr>
          <w:ilvl w:val="0"/>
          <w:numId w:val="8"/>
        </w:numPr>
        <w:jc w:val="both"/>
      </w:pPr>
      <w:bookmarkStart w:id="0" w:name="_Ref117785152"/>
      <w:bookmarkStart w:id="1" w:name="_Ref130826656"/>
      <w:r w:rsidRPr="007438C6">
        <w:t>R2-2</w:t>
      </w:r>
      <w:r w:rsidR="00FE2EAA">
        <w:t>301901</w:t>
      </w:r>
      <w:r w:rsidR="00161AD2">
        <w:t>,</w:t>
      </w:r>
      <w:r>
        <w:t xml:space="preserve"> </w:t>
      </w:r>
      <w:r w:rsidR="00161AD2">
        <w:t>“</w:t>
      </w:r>
      <w:r w:rsidRPr="009603BA">
        <w:t>Report from Break-out session on NR-NTN</w:t>
      </w:r>
      <w:r w:rsidR="00161AD2">
        <w:t>,</w:t>
      </w:r>
      <w:r w:rsidRPr="009603BA">
        <w:t xml:space="preserve"> IoT-NTN</w:t>
      </w:r>
      <w:r w:rsidR="00161AD2">
        <w:t xml:space="preserve"> and </w:t>
      </w:r>
      <w:proofErr w:type="spellStart"/>
      <w:r w:rsidR="00161AD2">
        <w:t>RedCap</w:t>
      </w:r>
      <w:proofErr w:type="spellEnd"/>
      <w:r w:rsidR="00161AD2">
        <w:t>”</w:t>
      </w:r>
      <w:r w:rsidRPr="007438C6">
        <w:t xml:space="preserve"> 3GPP TSG RAN2 Meeting #1</w:t>
      </w:r>
      <w:r w:rsidR="00D01692">
        <w:t>21</w:t>
      </w:r>
      <w:r w:rsidRPr="007438C6">
        <w:t xml:space="preserve"> Meeting, </w:t>
      </w:r>
      <w:r w:rsidR="00D01692">
        <w:t>February 27th-March 3rd</w:t>
      </w:r>
      <w:proofErr w:type="gramStart"/>
      <w:r w:rsidR="00D01692">
        <w:t xml:space="preserve"> </w:t>
      </w:r>
      <w:r w:rsidRPr="007438C6">
        <w:t>202</w:t>
      </w:r>
      <w:bookmarkEnd w:id="0"/>
      <w:r w:rsidR="00D01692">
        <w:t>3</w:t>
      </w:r>
      <w:proofErr w:type="gramEnd"/>
      <w:r w:rsidR="00D01692">
        <w:t>.</w:t>
      </w:r>
      <w:bookmarkEnd w:id="1"/>
    </w:p>
    <w:p w14:paraId="6FD4A1A1" w14:textId="4E2A13D7" w:rsidR="00411DFC" w:rsidRDefault="00411DFC" w:rsidP="00411DFC">
      <w:pPr>
        <w:pStyle w:val="ListParagraph"/>
        <w:numPr>
          <w:ilvl w:val="0"/>
          <w:numId w:val="8"/>
        </w:numPr>
        <w:jc w:val="both"/>
      </w:pPr>
      <w:bookmarkStart w:id="2" w:name="_Ref118098649"/>
      <w:bookmarkStart w:id="3" w:name="_Ref130997173"/>
      <w:r>
        <w:t>R2-23</w:t>
      </w:r>
      <w:r w:rsidR="0088668F">
        <w:t>00477,</w:t>
      </w:r>
      <w:r>
        <w:t xml:space="preserve"> </w:t>
      </w:r>
      <w:r w:rsidR="0088668F">
        <w:t>“On Enhanced NTN Connected-mode Mobility in Rel-18”</w:t>
      </w:r>
      <w:r>
        <w:t xml:space="preserve"> </w:t>
      </w:r>
      <w:r w:rsidRPr="007438C6">
        <w:t>3GPP TSG RAN2 Meeting #1</w:t>
      </w:r>
      <w:r w:rsidR="0088668F">
        <w:t>21</w:t>
      </w:r>
      <w:r w:rsidRPr="007438C6">
        <w:t xml:space="preserve"> Meeting, </w:t>
      </w:r>
      <w:r w:rsidR="0088668F">
        <w:t>February 27 – March 3</w:t>
      </w:r>
      <w:r w:rsidRPr="007438C6">
        <w:t>, 202</w:t>
      </w:r>
      <w:bookmarkEnd w:id="2"/>
      <w:r w:rsidR="0088668F">
        <w:t>3.</w:t>
      </w:r>
      <w:bookmarkEnd w:id="3"/>
    </w:p>
    <w:p w14:paraId="35F222F4" w14:textId="029ED21F" w:rsidR="00080512" w:rsidRPr="00A209D6" w:rsidRDefault="00284A9C" w:rsidP="00CB72A3">
      <w:pPr>
        <w:pStyle w:val="ListParagraph"/>
        <w:numPr>
          <w:ilvl w:val="0"/>
          <w:numId w:val="8"/>
        </w:numPr>
        <w:jc w:val="both"/>
      </w:pPr>
      <w:bookmarkStart w:id="4" w:name="_Ref131163084"/>
      <w:r>
        <w:t>R2-2210353 Further view on Idle- and Connected-mode NTN mobility in Rel-18 3GPP TSG RAN2 Meeting #119bis Electronic Meeting, Oct 10 - 19, 2022.</w:t>
      </w:r>
      <w:bookmarkEnd w:id="4"/>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84C65" w14:textId="77777777" w:rsidR="00E859B6" w:rsidRDefault="00E859B6">
      <w:r>
        <w:separator/>
      </w:r>
    </w:p>
  </w:endnote>
  <w:endnote w:type="continuationSeparator" w:id="0">
    <w:p w14:paraId="111A4AD7" w14:textId="77777777" w:rsidR="00E859B6" w:rsidRDefault="00E859B6">
      <w:r>
        <w:continuationSeparator/>
      </w:r>
    </w:p>
  </w:endnote>
  <w:endnote w:type="continuationNotice" w:id="1">
    <w:p w14:paraId="314F024B"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4D28F" w14:textId="77777777" w:rsidR="00E859B6" w:rsidRDefault="00E859B6">
      <w:r>
        <w:separator/>
      </w:r>
    </w:p>
  </w:footnote>
  <w:footnote w:type="continuationSeparator" w:id="0">
    <w:p w14:paraId="5202E23A" w14:textId="77777777" w:rsidR="00E859B6" w:rsidRDefault="00E859B6">
      <w:r>
        <w:continuationSeparator/>
      </w:r>
    </w:p>
  </w:footnote>
  <w:footnote w:type="continuationNotice" w:id="1">
    <w:p w14:paraId="49655BC1"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AB2E73"/>
    <w:multiLevelType w:val="hybridMultilevel"/>
    <w:tmpl w:val="D4485E5C"/>
    <w:lvl w:ilvl="0" w:tplc="0A12B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C4AFE"/>
    <w:multiLevelType w:val="hybridMultilevel"/>
    <w:tmpl w:val="46A495F4"/>
    <w:lvl w:ilvl="0" w:tplc="4AF045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83A2861"/>
    <w:multiLevelType w:val="hybridMultilevel"/>
    <w:tmpl w:val="F336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1374619834">
    <w:abstractNumId w:val="6"/>
  </w:num>
  <w:num w:numId="9" w16cid:durableId="1983267530">
    <w:abstractNumId w:val="9"/>
  </w:num>
  <w:num w:numId="10" w16cid:durableId="1872376634">
    <w:abstractNumId w:val="2"/>
  </w:num>
  <w:num w:numId="11" w16cid:durableId="1936093358">
    <w:abstractNumId w:val="3"/>
  </w:num>
  <w:num w:numId="12" w16cid:durableId="2132624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9A7"/>
    <w:rsid w:val="00005EEB"/>
    <w:rsid w:val="00006C10"/>
    <w:rsid w:val="000135CD"/>
    <w:rsid w:val="0001469F"/>
    <w:rsid w:val="00015586"/>
    <w:rsid w:val="00016557"/>
    <w:rsid w:val="0001724C"/>
    <w:rsid w:val="00023C40"/>
    <w:rsid w:val="00025520"/>
    <w:rsid w:val="00033397"/>
    <w:rsid w:val="00036D34"/>
    <w:rsid w:val="00040095"/>
    <w:rsid w:val="000402B1"/>
    <w:rsid w:val="00041DBD"/>
    <w:rsid w:val="000515E8"/>
    <w:rsid w:val="000535E2"/>
    <w:rsid w:val="00054B63"/>
    <w:rsid w:val="0005672D"/>
    <w:rsid w:val="00060976"/>
    <w:rsid w:val="00060C6D"/>
    <w:rsid w:val="0006102D"/>
    <w:rsid w:val="000644D6"/>
    <w:rsid w:val="00065268"/>
    <w:rsid w:val="000653B4"/>
    <w:rsid w:val="0006651E"/>
    <w:rsid w:val="00073C9C"/>
    <w:rsid w:val="00076412"/>
    <w:rsid w:val="00080512"/>
    <w:rsid w:val="00080DE8"/>
    <w:rsid w:val="00090468"/>
    <w:rsid w:val="000917F0"/>
    <w:rsid w:val="00094568"/>
    <w:rsid w:val="00097E65"/>
    <w:rsid w:val="000B6858"/>
    <w:rsid w:val="000B6E51"/>
    <w:rsid w:val="000B7BCF"/>
    <w:rsid w:val="000C0A1C"/>
    <w:rsid w:val="000C1567"/>
    <w:rsid w:val="000C4B9F"/>
    <w:rsid w:val="000C5199"/>
    <w:rsid w:val="000C522B"/>
    <w:rsid w:val="000C7118"/>
    <w:rsid w:val="000D45D7"/>
    <w:rsid w:val="000D58AB"/>
    <w:rsid w:val="000E182B"/>
    <w:rsid w:val="000E6909"/>
    <w:rsid w:val="000E748D"/>
    <w:rsid w:val="000F48FC"/>
    <w:rsid w:val="001048FA"/>
    <w:rsid w:val="00112F1A"/>
    <w:rsid w:val="00114107"/>
    <w:rsid w:val="001230A7"/>
    <w:rsid w:val="00130F18"/>
    <w:rsid w:val="00144C82"/>
    <w:rsid w:val="00145075"/>
    <w:rsid w:val="00145805"/>
    <w:rsid w:val="00154225"/>
    <w:rsid w:val="00161AD2"/>
    <w:rsid w:val="001648E9"/>
    <w:rsid w:val="001708A9"/>
    <w:rsid w:val="001741A0"/>
    <w:rsid w:val="001751C1"/>
    <w:rsid w:val="00175FA0"/>
    <w:rsid w:val="00177FB6"/>
    <w:rsid w:val="001806C1"/>
    <w:rsid w:val="001811C3"/>
    <w:rsid w:val="001832A7"/>
    <w:rsid w:val="00187D3D"/>
    <w:rsid w:val="00194CD0"/>
    <w:rsid w:val="0019727C"/>
    <w:rsid w:val="001A19DF"/>
    <w:rsid w:val="001A3D24"/>
    <w:rsid w:val="001A55EF"/>
    <w:rsid w:val="001B49C9"/>
    <w:rsid w:val="001C1494"/>
    <w:rsid w:val="001C23F4"/>
    <w:rsid w:val="001C4F79"/>
    <w:rsid w:val="001C5C79"/>
    <w:rsid w:val="001E0012"/>
    <w:rsid w:val="001E4655"/>
    <w:rsid w:val="001F13B5"/>
    <w:rsid w:val="001F168B"/>
    <w:rsid w:val="001F46AC"/>
    <w:rsid w:val="001F4DE8"/>
    <w:rsid w:val="001F4E5A"/>
    <w:rsid w:val="001F7831"/>
    <w:rsid w:val="00201266"/>
    <w:rsid w:val="002022C8"/>
    <w:rsid w:val="00203686"/>
    <w:rsid w:val="00204045"/>
    <w:rsid w:val="0020532C"/>
    <w:rsid w:val="0020712B"/>
    <w:rsid w:val="00225393"/>
    <w:rsid w:val="0022606D"/>
    <w:rsid w:val="00231516"/>
    <w:rsid w:val="00231728"/>
    <w:rsid w:val="00232E26"/>
    <w:rsid w:val="002343F8"/>
    <w:rsid w:val="00237AFA"/>
    <w:rsid w:val="0024149A"/>
    <w:rsid w:val="00244A05"/>
    <w:rsid w:val="00250404"/>
    <w:rsid w:val="00256B74"/>
    <w:rsid w:val="002610D8"/>
    <w:rsid w:val="0026325E"/>
    <w:rsid w:val="00273138"/>
    <w:rsid w:val="002747EC"/>
    <w:rsid w:val="00275016"/>
    <w:rsid w:val="00275AC4"/>
    <w:rsid w:val="00281A21"/>
    <w:rsid w:val="00284344"/>
    <w:rsid w:val="00284A9C"/>
    <w:rsid w:val="002855BF"/>
    <w:rsid w:val="00290BBC"/>
    <w:rsid w:val="00295B97"/>
    <w:rsid w:val="002A0353"/>
    <w:rsid w:val="002A590B"/>
    <w:rsid w:val="002B2988"/>
    <w:rsid w:val="002B4A4D"/>
    <w:rsid w:val="002B4B8B"/>
    <w:rsid w:val="002B71DC"/>
    <w:rsid w:val="002B75C2"/>
    <w:rsid w:val="002E1334"/>
    <w:rsid w:val="002E222B"/>
    <w:rsid w:val="002F05BA"/>
    <w:rsid w:val="002F0D22"/>
    <w:rsid w:val="002F3E52"/>
    <w:rsid w:val="00304938"/>
    <w:rsid w:val="00305796"/>
    <w:rsid w:val="00307D4F"/>
    <w:rsid w:val="0031153A"/>
    <w:rsid w:val="00311B17"/>
    <w:rsid w:val="00313499"/>
    <w:rsid w:val="003135CA"/>
    <w:rsid w:val="003172DC"/>
    <w:rsid w:val="0032196E"/>
    <w:rsid w:val="00325AE3"/>
    <w:rsid w:val="00326069"/>
    <w:rsid w:val="003311AC"/>
    <w:rsid w:val="00342AE2"/>
    <w:rsid w:val="003463D2"/>
    <w:rsid w:val="00352F18"/>
    <w:rsid w:val="0035462D"/>
    <w:rsid w:val="00357183"/>
    <w:rsid w:val="00360C64"/>
    <w:rsid w:val="00361549"/>
    <w:rsid w:val="0036459E"/>
    <w:rsid w:val="00364B41"/>
    <w:rsid w:val="00367345"/>
    <w:rsid w:val="00380027"/>
    <w:rsid w:val="00383096"/>
    <w:rsid w:val="003917E6"/>
    <w:rsid w:val="0039346C"/>
    <w:rsid w:val="003A4129"/>
    <w:rsid w:val="003A41EF"/>
    <w:rsid w:val="003A64DE"/>
    <w:rsid w:val="003A70FD"/>
    <w:rsid w:val="003A7F37"/>
    <w:rsid w:val="003B20E7"/>
    <w:rsid w:val="003B40AD"/>
    <w:rsid w:val="003B55F0"/>
    <w:rsid w:val="003B78E0"/>
    <w:rsid w:val="003C2224"/>
    <w:rsid w:val="003C23BC"/>
    <w:rsid w:val="003C4E37"/>
    <w:rsid w:val="003C5F88"/>
    <w:rsid w:val="003D0FD0"/>
    <w:rsid w:val="003D1A65"/>
    <w:rsid w:val="003D544D"/>
    <w:rsid w:val="003D6C84"/>
    <w:rsid w:val="003E16BE"/>
    <w:rsid w:val="003E43F2"/>
    <w:rsid w:val="003E5AE4"/>
    <w:rsid w:val="003F1236"/>
    <w:rsid w:val="003F483A"/>
    <w:rsid w:val="003F4E28"/>
    <w:rsid w:val="004006E8"/>
    <w:rsid w:val="00401855"/>
    <w:rsid w:val="004025D2"/>
    <w:rsid w:val="00407688"/>
    <w:rsid w:val="00407DCA"/>
    <w:rsid w:val="00411615"/>
    <w:rsid w:val="00411DFC"/>
    <w:rsid w:val="004176B7"/>
    <w:rsid w:val="00423970"/>
    <w:rsid w:val="004242D2"/>
    <w:rsid w:val="004463F2"/>
    <w:rsid w:val="00446C3A"/>
    <w:rsid w:val="00455A41"/>
    <w:rsid w:val="00465587"/>
    <w:rsid w:val="00477455"/>
    <w:rsid w:val="0048565C"/>
    <w:rsid w:val="004871C7"/>
    <w:rsid w:val="004A1F7B"/>
    <w:rsid w:val="004B01E5"/>
    <w:rsid w:val="004B426F"/>
    <w:rsid w:val="004C24C7"/>
    <w:rsid w:val="004C44D2"/>
    <w:rsid w:val="004D3578"/>
    <w:rsid w:val="004D380D"/>
    <w:rsid w:val="004D4B8D"/>
    <w:rsid w:val="004E213A"/>
    <w:rsid w:val="004E2EBD"/>
    <w:rsid w:val="004E5A74"/>
    <w:rsid w:val="004F4540"/>
    <w:rsid w:val="004F73A7"/>
    <w:rsid w:val="00503171"/>
    <w:rsid w:val="00504B7F"/>
    <w:rsid w:val="00505A08"/>
    <w:rsid w:val="00506112"/>
    <w:rsid w:val="00506C28"/>
    <w:rsid w:val="00507EC5"/>
    <w:rsid w:val="00510AE1"/>
    <w:rsid w:val="00521356"/>
    <w:rsid w:val="00523F81"/>
    <w:rsid w:val="005308D2"/>
    <w:rsid w:val="005340F9"/>
    <w:rsid w:val="00534DA0"/>
    <w:rsid w:val="005350EF"/>
    <w:rsid w:val="00536B6E"/>
    <w:rsid w:val="00540864"/>
    <w:rsid w:val="00542CAD"/>
    <w:rsid w:val="00543E6C"/>
    <w:rsid w:val="00545547"/>
    <w:rsid w:val="0055330B"/>
    <w:rsid w:val="00557C15"/>
    <w:rsid w:val="0056046C"/>
    <w:rsid w:val="00565087"/>
    <w:rsid w:val="0056573F"/>
    <w:rsid w:val="00571279"/>
    <w:rsid w:val="00573A98"/>
    <w:rsid w:val="0057496D"/>
    <w:rsid w:val="00580771"/>
    <w:rsid w:val="005912CE"/>
    <w:rsid w:val="005918A9"/>
    <w:rsid w:val="00592809"/>
    <w:rsid w:val="0059316D"/>
    <w:rsid w:val="00597172"/>
    <w:rsid w:val="00597CCA"/>
    <w:rsid w:val="005A13AB"/>
    <w:rsid w:val="005A3E0F"/>
    <w:rsid w:val="005A4801"/>
    <w:rsid w:val="005A49C6"/>
    <w:rsid w:val="005A4A31"/>
    <w:rsid w:val="005A519C"/>
    <w:rsid w:val="005A64CE"/>
    <w:rsid w:val="005B34F2"/>
    <w:rsid w:val="005B4B66"/>
    <w:rsid w:val="005C0AA2"/>
    <w:rsid w:val="005C766E"/>
    <w:rsid w:val="005C7CD5"/>
    <w:rsid w:val="005D1789"/>
    <w:rsid w:val="005E31A1"/>
    <w:rsid w:val="005E3EE2"/>
    <w:rsid w:val="005E5197"/>
    <w:rsid w:val="005E58B7"/>
    <w:rsid w:val="005E635C"/>
    <w:rsid w:val="005F6408"/>
    <w:rsid w:val="005F73F5"/>
    <w:rsid w:val="00600804"/>
    <w:rsid w:val="006033B6"/>
    <w:rsid w:val="00611566"/>
    <w:rsid w:val="006131CA"/>
    <w:rsid w:val="00616052"/>
    <w:rsid w:val="00617A6E"/>
    <w:rsid w:val="00626FD7"/>
    <w:rsid w:val="006318D6"/>
    <w:rsid w:val="00633F4B"/>
    <w:rsid w:val="00637DFC"/>
    <w:rsid w:val="006442C9"/>
    <w:rsid w:val="00646D99"/>
    <w:rsid w:val="00656910"/>
    <w:rsid w:val="006574C0"/>
    <w:rsid w:val="00657F6D"/>
    <w:rsid w:val="00673CA7"/>
    <w:rsid w:val="00677F46"/>
    <w:rsid w:val="006832FA"/>
    <w:rsid w:val="00683FAC"/>
    <w:rsid w:val="00684A19"/>
    <w:rsid w:val="0069274C"/>
    <w:rsid w:val="00695B16"/>
    <w:rsid w:val="00696821"/>
    <w:rsid w:val="00697904"/>
    <w:rsid w:val="006A1DD1"/>
    <w:rsid w:val="006A2CA7"/>
    <w:rsid w:val="006A403A"/>
    <w:rsid w:val="006A7EE3"/>
    <w:rsid w:val="006C278A"/>
    <w:rsid w:val="006C43AC"/>
    <w:rsid w:val="006C66D8"/>
    <w:rsid w:val="006D147D"/>
    <w:rsid w:val="006D1E24"/>
    <w:rsid w:val="006D35DE"/>
    <w:rsid w:val="006D462F"/>
    <w:rsid w:val="006E1057"/>
    <w:rsid w:val="006E1417"/>
    <w:rsid w:val="006E23B8"/>
    <w:rsid w:val="006E3E52"/>
    <w:rsid w:val="006E44D5"/>
    <w:rsid w:val="006E7737"/>
    <w:rsid w:val="006F5D0D"/>
    <w:rsid w:val="006F6A2C"/>
    <w:rsid w:val="007069DC"/>
    <w:rsid w:val="00710201"/>
    <w:rsid w:val="0071416A"/>
    <w:rsid w:val="0072073A"/>
    <w:rsid w:val="00722CD7"/>
    <w:rsid w:val="00723521"/>
    <w:rsid w:val="0073100C"/>
    <w:rsid w:val="00733107"/>
    <w:rsid w:val="007342B5"/>
    <w:rsid w:val="00734A5B"/>
    <w:rsid w:val="00741F54"/>
    <w:rsid w:val="00744E76"/>
    <w:rsid w:val="00757D40"/>
    <w:rsid w:val="007615CC"/>
    <w:rsid w:val="007662B5"/>
    <w:rsid w:val="0076723E"/>
    <w:rsid w:val="0077077A"/>
    <w:rsid w:val="007726C0"/>
    <w:rsid w:val="00781F0F"/>
    <w:rsid w:val="007823A3"/>
    <w:rsid w:val="0078478D"/>
    <w:rsid w:val="007847FF"/>
    <w:rsid w:val="0078727C"/>
    <w:rsid w:val="00787FF0"/>
    <w:rsid w:val="0079049D"/>
    <w:rsid w:val="00793DC5"/>
    <w:rsid w:val="00795F11"/>
    <w:rsid w:val="00796823"/>
    <w:rsid w:val="007A2E55"/>
    <w:rsid w:val="007A38C9"/>
    <w:rsid w:val="007A5844"/>
    <w:rsid w:val="007A7F5C"/>
    <w:rsid w:val="007B1450"/>
    <w:rsid w:val="007B18D8"/>
    <w:rsid w:val="007B208F"/>
    <w:rsid w:val="007C095F"/>
    <w:rsid w:val="007C2DD0"/>
    <w:rsid w:val="007D2D5D"/>
    <w:rsid w:val="007D7291"/>
    <w:rsid w:val="007E03BE"/>
    <w:rsid w:val="007E234C"/>
    <w:rsid w:val="007E6144"/>
    <w:rsid w:val="007F07D7"/>
    <w:rsid w:val="007F1F07"/>
    <w:rsid w:val="007F2E08"/>
    <w:rsid w:val="007F61E3"/>
    <w:rsid w:val="00801EC4"/>
    <w:rsid w:val="008024FA"/>
    <w:rsid w:val="008028A4"/>
    <w:rsid w:val="008061C0"/>
    <w:rsid w:val="008108E3"/>
    <w:rsid w:val="00813245"/>
    <w:rsid w:val="008148D5"/>
    <w:rsid w:val="00824B97"/>
    <w:rsid w:val="00824D0E"/>
    <w:rsid w:val="0082532D"/>
    <w:rsid w:val="00827F28"/>
    <w:rsid w:val="008321C1"/>
    <w:rsid w:val="0084033C"/>
    <w:rsid w:val="00840DE0"/>
    <w:rsid w:val="00842FAA"/>
    <w:rsid w:val="008449CF"/>
    <w:rsid w:val="00847CD0"/>
    <w:rsid w:val="008522ED"/>
    <w:rsid w:val="008607A8"/>
    <w:rsid w:val="00862990"/>
    <w:rsid w:val="0086354A"/>
    <w:rsid w:val="00871E7F"/>
    <w:rsid w:val="00874AB4"/>
    <w:rsid w:val="008768CA"/>
    <w:rsid w:val="00877EF9"/>
    <w:rsid w:val="00880559"/>
    <w:rsid w:val="00885747"/>
    <w:rsid w:val="0088668F"/>
    <w:rsid w:val="00886F8C"/>
    <w:rsid w:val="0088768E"/>
    <w:rsid w:val="00893A08"/>
    <w:rsid w:val="00896D61"/>
    <w:rsid w:val="008A4ED7"/>
    <w:rsid w:val="008A644E"/>
    <w:rsid w:val="008B5306"/>
    <w:rsid w:val="008B54E8"/>
    <w:rsid w:val="008B5581"/>
    <w:rsid w:val="008C0AF1"/>
    <w:rsid w:val="008C1B25"/>
    <w:rsid w:val="008C2E2A"/>
    <w:rsid w:val="008C3057"/>
    <w:rsid w:val="008C3953"/>
    <w:rsid w:val="008C4953"/>
    <w:rsid w:val="008D023C"/>
    <w:rsid w:val="008D2D16"/>
    <w:rsid w:val="008D2E4D"/>
    <w:rsid w:val="008E2A34"/>
    <w:rsid w:val="008E3C4E"/>
    <w:rsid w:val="008F09CF"/>
    <w:rsid w:val="008F27E9"/>
    <w:rsid w:val="008F396F"/>
    <w:rsid w:val="008F3DCD"/>
    <w:rsid w:val="008F5E3C"/>
    <w:rsid w:val="008F5F87"/>
    <w:rsid w:val="008F7285"/>
    <w:rsid w:val="0090271F"/>
    <w:rsid w:val="00902DB9"/>
    <w:rsid w:val="0090466A"/>
    <w:rsid w:val="00905E5A"/>
    <w:rsid w:val="0090646A"/>
    <w:rsid w:val="0091014B"/>
    <w:rsid w:val="0091214B"/>
    <w:rsid w:val="00914C47"/>
    <w:rsid w:val="0091597B"/>
    <w:rsid w:val="00923655"/>
    <w:rsid w:val="00926FDF"/>
    <w:rsid w:val="0093278B"/>
    <w:rsid w:val="009339CB"/>
    <w:rsid w:val="009343EA"/>
    <w:rsid w:val="00936071"/>
    <w:rsid w:val="009376CD"/>
    <w:rsid w:val="00940212"/>
    <w:rsid w:val="009428FD"/>
    <w:rsid w:val="00942EC2"/>
    <w:rsid w:val="00943A00"/>
    <w:rsid w:val="00944BBA"/>
    <w:rsid w:val="00944E65"/>
    <w:rsid w:val="00945242"/>
    <w:rsid w:val="00951DD3"/>
    <w:rsid w:val="0095629D"/>
    <w:rsid w:val="009578C4"/>
    <w:rsid w:val="009607D7"/>
    <w:rsid w:val="00961B32"/>
    <w:rsid w:val="00962509"/>
    <w:rsid w:val="00966C63"/>
    <w:rsid w:val="00970DB3"/>
    <w:rsid w:val="00974BB0"/>
    <w:rsid w:val="0097571D"/>
    <w:rsid w:val="00975BCD"/>
    <w:rsid w:val="00980215"/>
    <w:rsid w:val="0098174C"/>
    <w:rsid w:val="009818A2"/>
    <w:rsid w:val="00982B74"/>
    <w:rsid w:val="009911E7"/>
    <w:rsid w:val="009928A9"/>
    <w:rsid w:val="009949D3"/>
    <w:rsid w:val="009A0AF3"/>
    <w:rsid w:val="009A1991"/>
    <w:rsid w:val="009A5D53"/>
    <w:rsid w:val="009B07CD"/>
    <w:rsid w:val="009B103C"/>
    <w:rsid w:val="009B261B"/>
    <w:rsid w:val="009B31B2"/>
    <w:rsid w:val="009C19E9"/>
    <w:rsid w:val="009D2C03"/>
    <w:rsid w:val="009D3752"/>
    <w:rsid w:val="009D74A6"/>
    <w:rsid w:val="009E0E87"/>
    <w:rsid w:val="009E4F38"/>
    <w:rsid w:val="009F0FA7"/>
    <w:rsid w:val="009F1D3C"/>
    <w:rsid w:val="009F286E"/>
    <w:rsid w:val="009F621E"/>
    <w:rsid w:val="009F7D8A"/>
    <w:rsid w:val="00A10F02"/>
    <w:rsid w:val="00A14F8E"/>
    <w:rsid w:val="00A16432"/>
    <w:rsid w:val="00A16776"/>
    <w:rsid w:val="00A17176"/>
    <w:rsid w:val="00A204CA"/>
    <w:rsid w:val="00A209D6"/>
    <w:rsid w:val="00A22738"/>
    <w:rsid w:val="00A35A6E"/>
    <w:rsid w:val="00A36F5F"/>
    <w:rsid w:val="00A400CA"/>
    <w:rsid w:val="00A430EC"/>
    <w:rsid w:val="00A50D5A"/>
    <w:rsid w:val="00A53724"/>
    <w:rsid w:val="00A54B2B"/>
    <w:rsid w:val="00A55509"/>
    <w:rsid w:val="00A57ADE"/>
    <w:rsid w:val="00A60164"/>
    <w:rsid w:val="00A64CE5"/>
    <w:rsid w:val="00A703B6"/>
    <w:rsid w:val="00A73235"/>
    <w:rsid w:val="00A77020"/>
    <w:rsid w:val="00A80D0C"/>
    <w:rsid w:val="00A82346"/>
    <w:rsid w:val="00A85A62"/>
    <w:rsid w:val="00A90464"/>
    <w:rsid w:val="00A90FA1"/>
    <w:rsid w:val="00A9671C"/>
    <w:rsid w:val="00AA0306"/>
    <w:rsid w:val="00AA1553"/>
    <w:rsid w:val="00AB0B8A"/>
    <w:rsid w:val="00AB2ED6"/>
    <w:rsid w:val="00AB2F61"/>
    <w:rsid w:val="00AD1D9A"/>
    <w:rsid w:val="00AE429A"/>
    <w:rsid w:val="00AE69BB"/>
    <w:rsid w:val="00AF589E"/>
    <w:rsid w:val="00B001C3"/>
    <w:rsid w:val="00B05380"/>
    <w:rsid w:val="00B05962"/>
    <w:rsid w:val="00B15449"/>
    <w:rsid w:val="00B16C2F"/>
    <w:rsid w:val="00B26F24"/>
    <w:rsid w:val="00B27303"/>
    <w:rsid w:val="00B30245"/>
    <w:rsid w:val="00B34C4A"/>
    <w:rsid w:val="00B43354"/>
    <w:rsid w:val="00B47FD1"/>
    <w:rsid w:val="00B516BB"/>
    <w:rsid w:val="00B55F2B"/>
    <w:rsid w:val="00B601BD"/>
    <w:rsid w:val="00B66D36"/>
    <w:rsid w:val="00B71365"/>
    <w:rsid w:val="00B7538C"/>
    <w:rsid w:val="00B82BB2"/>
    <w:rsid w:val="00B84DB2"/>
    <w:rsid w:val="00B857CE"/>
    <w:rsid w:val="00B90AFE"/>
    <w:rsid w:val="00B915CE"/>
    <w:rsid w:val="00BA410A"/>
    <w:rsid w:val="00BA5762"/>
    <w:rsid w:val="00BB0824"/>
    <w:rsid w:val="00BB107A"/>
    <w:rsid w:val="00BB5043"/>
    <w:rsid w:val="00BC0BC4"/>
    <w:rsid w:val="00BC3555"/>
    <w:rsid w:val="00BC3C8E"/>
    <w:rsid w:val="00BD062C"/>
    <w:rsid w:val="00BD0713"/>
    <w:rsid w:val="00BE14C5"/>
    <w:rsid w:val="00BE6574"/>
    <w:rsid w:val="00BE6725"/>
    <w:rsid w:val="00BF6AAB"/>
    <w:rsid w:val="00BF76C2"/>
    <w:rsid w:val="00C07CDF"/>
    <w:rsid w:val="00C125CC"/>
    <w:rsid w:val="00C12B51"/>
    <w:rsid w:val="00C135E5"/>
    <w:rsid w:val="00C1380A"/>
    <w:rsid w:val="00C16E3D"/>
    <w:rsid w:val="00C24650"/>
    <w:rsid w:val="00C2518D"/>
    <w:rsid w:val="00C25465"/>
    <w:rsid w:val="00C33079"/>
    <w:rsid w:val="00C353CB"/>
    <w:rsid w:val="00C41EBC"/>
    <w:rsid w:val="00C46621"/>
    <w:rsid w:val="00C50556"/>
    <w:rsid w:val="00C54AF8"/>
    <w:rsid w:val="00C55A12"/>
    <w:rsid w:val="00C615FE"/>
    <w:rsid w:val="00C6553E"/>
    <w:rsid w:val="00C66A8A"/>
    <w:rsid w:val="00C83A13"/>
    <w:rsid w:val="00C86F10"/>
    <w:rsid w:val="00C9068C"/>
    <w:rsid w:val="00C92967"/>
    <w:rsid w:val="00CA084B"/>
    <w:rsid w:val="00CA3D0C"/>
    <w:rsid w:val="00CA654B"/>
    <w:rsid w:val="00CA6A0B"/>
    <w:rsid w:val="00CB1A43"/>
    <w:rsid w:val="00CB72A3"/>
    <w:rsid w:val="00CB72B8"/>
    <w:rsid w:val="00CB7924"/>
    <w:rsid w:val="00CC161A"/>
    <w:rsid w:val="00CC2000"/>
    <w:rsid w:val="00CC2D6E"/>
    <w:rsid w:val="00CC4D1E"/>
    <w:rsid w:val="00CC7D4D"/>
    <w:rsid w:val="00CD0BA8"/>
    <w:rsid w:val="00CD4C7B"/>
    <w:rsid w:val="00CD58FE"/>
    <w:rsid w:val="00CD6D4E"/>
    <w:rsid w:val="00CD7C39"/>
    <w:rsid w:val="00CE1BB5"/>
    <w:rsid w:val="00CE2E42"/>
    <w:rsid w:val="00CE5A9F"/>
    <w:rsid w:val="00D00179"/>
    <w:rsid w:val="00D01692"/>
    <w:rsid w:val="00D12808"/>
    <w:rsid w:val="00D1731F"/>
    <w:rsid w:val="00D176DF"/>
    <w:rsid w:val="00D202D8"/>
    <w:rsid w:val="00D20C36"/>
    <w:rsid w:val="00D33BE3"/>
    <w:rsid w:val="00D3792D"/>
    <w:rsid w:val="00D4419F"/>
    <w:rsid w:val="00D466FF"/>
    <w:rsid w:val="00D4689D"/>
    <w:rsid w:val="00D54820"/>
    <w:rsid w:val="00D55E47"/>
    <w:rsid w:val="00D56207"/>
    <w:rsid w:val="00D62E19"/>
    <w:rsid w:val="00D66186"/>
    <w:rsid w:val="00D66A4A"/>
    <w:rsid w:val="00D67CD1"/>
    <w:rsid w:val="00D738D6"/>
    <w:rsid w:val="00D80795"/>
    <w:rsid w:val="00D84B6C"/>
    <w:rsid w:val="00D854BE"/>
    <w:rsid w:val="00D87E00"/>
    <w:rsid w:val="00D912B5"/>
    <w:rsid w:val="00D9134D"/>
    <w:rsid w:val="00D96D11"/>
    <w:rsid w:val="00DA005D"/>
    <w:rsid w:val="00DA189A"/>
    <w:rsid w:val="00DA1D1C"/>
    <w:rsid w:val="00DA1D3B"/>
    <w:rsid w:val="00DA23DD"/>
    <w:rsid w:val="00DA7A03"/>
    <w:rsid w:val="00DB0D1D"/>
    <w:rsid w:val="00DB0DB8"/>
    <w:rsid w:val="00DB1818"/>
    <w:rsid w:val="00DB274F"/>
    <w:rsid w:val="00DB405E"/>
    <w:rsid w:val="00DB544A"/>
    <w:rsid w:val="00DC246E"/>
    <w:rsid w:val="00DC309B"/>
    <w:rsid w:val="00DC4DA2"/>
    <w:rsid w:val="00DC5261"/>
    <w:rsid w:val="00DD3B54"/>
    <w:rsid w:val="00DD4880"/>
    <w:rsid w:val="00DD55C2"/>
    <w:rsid w:val="00DE25D2"/>
    <w:rsid w:val="00DE3C3A"/>
    <w:rsid w:val="00DE5CDE"/>
    <w:rsid w:val="00DE76C3"/>
    <w:rsid w:val="00DF00E4"/>
    <w:rsid w:val="00DF10AF"/>
    <w:rsid w:val="00DF7C20"/>
    <w:rsid w:val="00E038FB"/>
    <w:rsid w:val="00E073E7"/>
    <w:rsid w:val="00E16313"/>
    <w:rsid w:val="00E17265"/>
    <w:rsid w:val="00E20856"/>
    <w:rsid w:val="00E2149E"/>
    <w:rsid w:val="00E30840"/>
    <w:rsid w:val="00E3467E"/>
    <w:rsid w:val="00E3706D"/>
    <w:rsid w:val="00E433D0"/>
    <w:rsid w:val="00E46C08"/>
    <w:rsid w:val="00E471CF"/>
    <w:rsid w:val="00E552CF"/>
    <w:rsid w:val="00E5531A"/>
    <w:rsid w:val="00E6216B"/>
    <w:rsid w:val="00E62835"/>
    <w:rsid w:val="00E6416A"/>
    <w:rsid w:val="00E647B7"/>
    <w:rsid w:val="00E647E6"/>
    <w:rsid w:val="00E6480E"/>
    <w:rsid w:val="00E66D81"/>
    <w:rsid w:val="00E66F80"/>
    <w:rsid w:val="00E74F01"/>
    <w:rsid w:val="00E77645"/>
    <w:rsid w:val="00E834AF"/>
    <w:rsid w:val="00E83697"/>
    <w:rsid w:val="00E859B6"/>
    <w:rsid w:val="00E867EA"/>
    <w:rsid w:val="00E87CF1"/>
    <w:rsid w:val="00E94AAF"/>
    <w:rsid w:val="00EA39B7"/>
    <w:rsid w:val="00EA42BB"/>
    <w:rsid w:val="00EA66C9"/>
    <w:rsid w:val="00EB5D32"/>
    <w:rsid w:val="00EB5EDE"/>
    <w:rsid w:val="00EB5F72"/>
    <w:rsid w:val="00EC3757"/>
    <w:rsid w:val="00EC4A25"/>
    <w:rsid w:val="00ED171F"/>
    <w:rsid w:val="00EE06D5"/>
    <w:rsid w:val="00EE381B"/>
    <w:rsid w:val="00EE730D"/>
    <w:rsid w:val="00EF1DF5"/>
    <w:rsid w:val="00EF612C"/>
    <w:rsid w:val="00EF6B96"/>
    <w:rsid w:val="00EF70FE"/>
    <w:rsid w:val="00F025A2"/>
    <w:rsid w:val="00F036E9"/>
    <w:rsid w:val="00F063C2"/>
    <w:rsid w:val="00F07388"/>
    <w:rsid w:val="00F1124B"/>
    <w:rsid w:val="00F2026E"/>
    <w:rsid w:val="00F21856"/>
    <w:rsid w:val="00F2210A"/>
    <w:rsid w:val="00F2492B"/>
    <w:rsid w:val="00F26D64"/>
    <w:rsid w:val="00F30958"/>
    <w:rsid w:val="00F31372"/>
    <w:rsid w:val="00F34C8E"/>
    <w:rsid w:val="00F356CA"/>
    <w:rsid w:val="00F37743"/>
    <w:rsid w:val="00F45E00"/>
    <w:rsid w:val="00F47D37"/>
    <w:rsid w:val="00F540F3"/>
    <w:rsid w:val="00F54A3D"/>
    <w:rsid w:val="00F54CB0"/>
    <w:rsid w:val="00F579CD"/>
    <w:rsid w:val="00F61DF8"/>
    <w:rsid w:val="00F63433"/>
    <w:rsid w:val="00F64393"/>
    <w:rsid w:val="00F653B8"/>
    <w:rsid w:val="00F71B89"/>
    <w:rsid w:val="00F7353C"/>
    <w:rsid w:val="00F76F8F"/>
    <w:rsid w:val="00F87257"/>
    <w:rsid w:val="00F90B3B"/>
    <w:rsid w:val="00F941DF"/>
    <w:rsid w:val="00FA1266"/>
    <w:rsid w:val="00FA16D0"/>
    <w:rsid w:val="00FA2B8A"/>
    <w:rsid w:val="00FA7799"/>
    <w:rsid w:val="00FB36FA"/>
    <w:rsid w:val="00FB5352"/>
    <w:rsid w:val="00FB7E3B"/>
    <w:rsid w:val="00FC1192"/>
    <w:rsid w:val="00FD1802"/>
    <w:rsid w:val="00FE106D"/>
    <w:rsid w:val="00FE251B"/>
    <w:rsid w:val="00FE2EAA"/>
    <w:rsid w:val="00FE3913"/>
    <w:rsid w:val="00FF05D4"/>
    <w:rsid w:val="00FF21C3"/>
    <w:rsid w:val="00FF2308"/>
    <w:rsid w:val="00FF30A0"/>
    <w:rsid w:val="00FF726C"/>
    <w:rsid w:val="187B5498"/>
    <w:rsid w:val="2C5799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744DE5"/>
  <w15:chartTrackingRefBased/>
  <w15:docId w15:val="{59A4C0E2-EFFF-4984-916D-5BC064F0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07688"/>
    <w:pPr>
      <w:ind w:left="720"/>
      <w:contextualSpacing/>
    </w:p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basedOn w:val="DefaultParagraphFont"/>
    <w:link w:val="ListParagraph"/>
    <w:uiPriority w:val="34"/>
    <w:locked/>
    <w:rsid w:val="00407688"/>
    <w:rPr>
      <w:lang w:eastAsia="en-US"/>
    </w:rPr>
  </w:style>
  <w:style w:type="table" w:styleId="TableGrid">
    <w:name w:val="Table Grid"/>
    <w:basedOn w:val="TableNormal"/>
    <w:rsid w:val="00C13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5A9F"/>
    <w:rPr>
      <w:lang w:eastAsia="en-US"/>
    </w:rPr>
  </w:style>
  <w:style w:type="character" w:styleId="CommentReference">
    <w:name w:val="annotation reference"/>
    <w:basedOn w:val="DefaultParagraphFont"/>
    <w:uiPriority w:val="99"/>
    <w:rsid w:val="006A403A"/>
    <w:rPr>
      <w:sz w:val="16"/>
      <w:szCs w:val="16"/>
    </w:rPr>
  </w:style>
  <w:style w:type="paragraph" w:styleId="CommentText">
    <w:name w:val="annotation text"/>
    <w:basedOn w:val="Normal"/>
    <w:link w:val="CommentTextChar"/>
    <w:uiPriority w:val="99"/>
    <w:rsid w:val="006A403A"/>
  </w:style>
  <w:style w:type="character" w:customStyle="1" w:styleId="CommentTextChar">
    <w:name w:val="Comment Text Char"/>
    <w:basedOn w:val="DefaultParagraphFont"/>
    <w:link w:val="CommentText"/>
    <w:uiPriority w:val="99"/>
    <w:rsid w:val="006A403A"/>
    <w:rPr>
      <w:lang w:eastAsia="en-US"/>
    </w:rPr>
  </w:style>
  <w:style w:type="paragraph" w:styleId="CommentSubject">
    <w:name w:val="annotation subject"/>
    <w:basedOn w:val="CommentText"/>
    <w:next w:val="CommentText"/>
    <w:link w:val="CommentSubjectChar"/>
    <w:rsid w:val="006A403A"/>
    <w:rPr>
      <w:b/>
      <w:bCs/>
    </w:rPr>
  </w:style>
  <w:style w:type="character" w:customStyle="1" w:styleId="CommentSubjectChar">
    <w:name w:val="Comment Subject Char"/>
    <w:basedOn w:val="CommentTextChar"/>
    <w:link w:val="CommentSubject"/>
    <w:rsid w:val="006A403A"/>
    <w:rPr>
      <w:b/>
      <w:bCs/>
      <w:lang w:eastAsia="en-US"/>
    </w:rPr>
  </w:style>
  <w:style w:type="character" w:styleId="FollowedHyperlink">
    <w:name w:val="FollowedHyperlink"/>
    <w:basedOn w:val="DefaultParagraphFont"/>
    <w:rsid w:val="003917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896">
      <w:bodyDiv w:val="1"/>
      <w:marLeft w:val="0"/>
      <w:marRight w:val="0"/>
      <w:marTop w:val="0"/>
      <w:marBottom w:val="0"/>
      <w:divBdr>
        <w:top w:val="none" w:sz="0" w:space="0" w:color="auto"/>
        <w:left w:val="none" w:sz="0" w:space="0" w:color="auto"/>
        <w:bottom w:val="none" w:sz="0" w:space="0" w:color="auto"/>
        <w:right w:val="none" w:sz="0" w:space="0" w:color="auto"/>
      </w:divBdr>
    </w:div>
    <w:div w:id="5130394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1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5AIRPNAIUNRU-859666464-13688</_dlc_DocId>
    <_dlc_DocIdUrl xmlns="71c5aaf6-e6ce-465b-b873-5148d2a4c105">
      <Url>https://nokia.sharepoint.com/sites/c5g/e2earch/_layouts/15/DocIdRedir.aspx?ID=5AIRPNAIUNRU-859666464-13688</Url>
      <Description>5AIRPNAIUNRU-859666464-13688</Description>
    </_dlc_DocIdUrl>
    <SharedWithUsers xmlns="a3840f4f-04be-43d1-b2ef-6ff1382503c7">
      <UserInfo>
        <DisplayName>Jedrzej Stanczak (Nokia)</DisplayName>
        <AccountId>723</AccountId>
        <AccountType/>
      </UserInfo>
      <UserInfo>
        <DisplayName>Sandra Hoppe (Nokia)</DisplayName>
        <AccountId>34379</AccountId>
        <AccountType/>
      </UserInfo>
      <UserInfo>
        <DisplayName>Jeroen Wigard (Nokia)</DisplayName>
        <AccountId>1107</AccountId>
        <AccountType/>
      </UserInfo>
      <UserInfo>
        <DisplayName>Frank Frederiksen (Nokia)</DisplayName>
        <AccountId>1131</AccountId>
        <AccountType/>
      </UserInfo>
      <UserInfo>
        <DisplayName>Rafhael Medeiros de Amorim (Nokia)</DisplayName>
        <AccountId>2104</AccountId>
        <AccountType/>
      </UserInfo>
      <UserInfo>
        <DisplayName>Mads Lauridsen (Nokia)</DisplayName>
        <AccountId>5232</AccountId>
        <AccountType/>
      </UserInfo>
      <UserInfo>
        <DisplayName>Steven 1. Xu (NSB)</DisplayName>
        <AccountId>347</AccountId>
        <AccountType/>
      </UserInfo>
      <UserInfo>
        <DisplayName>Ayaz 1. Ahmed (Nokia)</DisplayName>
        <AccountId>1358</AccountId>
        <AccountType/>
      </UserInfo>
      <UserInfo>
        <DisplayName>Ping 1. Yuan (NSB)</DisplayName>
        <AccountId>1374</AccountId>
        <AccountType/>
      </UserInfo>
      <UserInfo>
        <DisplayName>Srinivasan Selvaganapathy (Nokia)</DisplayName>
        <AccountId>1900</AccountId>
        <AccountType/>
      </UserInfo>
      <UserInfo>
        <DisplayName>Pingping Wen (NSB)</DisplayName>
        <AccountId>6529</AccountId>
        <AccountType/>
      </UserInfo>
      <UserInfo>
        <DisplayName>Jakob Buthler (Nokia)</DisplayName>
        <AccountId>17394</AccountId>
        <AccountType/>
      </UserInfo>
      <UserInfo>
        <DisplayName>Enric Juan (Nokia)</DisplayName>
        <AccountId>18249</AccountId>
        <AccountType/>
      </UserInfo>
      <UserInfo>
        <DisplayName>Haibin Lu (NSB)</DisplayName>
        <AccountId>64891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83f22d2f-d16e-4be6-ad4f-29fa0b067c3c"/>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3840f4f-04be-43d1-b2ef-6ff1382503c7"/>
    <ds:schemaRef ds:uri="http://schemas.microsoft.com/office/2006/metadata/properties"/>
    <ds:schemaRef ds:uri="http://www.w3.org/XML/1998/namespace"/>
    <ds:schemaRef ds:uri="3b34c8f0-1ef5-4d1e-bb66-517ce7fe7356"/>
    <ds:schemaRef ds:uri="71c5aaf6-e6ce-465b-b873-5148d2a4c105"/>
    <ds:schemaRef ds:uri="http://purl.org/dc/dcmitype/"/>
  </ds:schemaRefs>
</ds:datastoreItem>
</file>

<file path=customXml/itemProps3.xml><?xml version="1.0" encoding="utf-8"?>
<ds:datastoreItem xmlns:ds="http://schemas.openxmlformats.org/officeDocument/2006/customXml" ds:itemID="{B2472A3C-2145-43F0-9CD2-943B369FF69B}">
  <ds:schemaRefs>
    <ds:schemaRef ds:uri="http://schemas.openxmlformats.org/officeDocument/2006/bibliography"/>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2465</TotalTime>
  <Pages>5</Pages>
  <Words>2747</Words>
  <Characters>14876</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17588</CharactersWithSpaces>
  <SharedDoc>false</SharedDoc>
  <HyperlinkBase/>
  <HLinks>
    <vt:vector size="6" baseType="variant">
      <vt:variant>
        <vt:i4>8257601</vt:i4>
      </vt:variant>
      <vt:variant>
        <vt:i4>0</vt:i4>
      </vt:variant>
      <vt:variant>
        <vt:i4>0</vt:i4>
      </vt:variant>
      <vt:variant>
        <vt:i4>5</vt:i4>
      </vt:variant>
      <vt:variant>
        <vt:lpwstr>https://www.3gpp.org/ftp/tsg_ran/WG2_RL2/TSGR2_121/Docs/R2-2300177.zip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287</cp:revision>
  <dcterms:created xsi:type="dcterms:W3CDTF">2023-03-27T11:37:00Z</dcterms:created>
  <dcterms:modified xsi:type="dcterms:W3CDTF">2023-04-07T08:56:00Z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1bb718e7-1f00-48d7-81ab-cc2a5b9eba92</vt:lpwstr>
  </property>
</Properties>
</file>